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D27E7" w14:textId="4A7A0248" w:rsidR="00E17D68" w:rsidRDefault="000B0095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="00C8624C"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535D8CFE" w14:textId="4B6C0BD2" w:rsidR="0073697C" w:rsidRDefault="001A2B0C" w:rsidP="00CA426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MANOVRA 202</w:t>
      </w:r>
      <w:r w:rsidR="007C322E">
        <w:rPr>
          <w:b/>
          <w:bCs/>
          <w:sz w:val="36"/>
          <w:szCs w:val="36"/>
        </w:rPr>
        <w:t>6</w:t>
      </w:r>
      <w:r w:rsidR="000B40CB">
        <w:rPr>
          <w:b/>
          <w:bCs/>
          <w:sz w:val="36"/>
          <w:szCs w:val="36"/>
        </w:rPr>
        <w:t>:</w:t>
      </w:r>
      <w:r w:rsidR="0073697C">
        <w:rPr>
          <w:b/>
          <w:bCs/>
          <w:sz w:val="36"/>
          <w:szCs w:val="36"/>
        </w:rPr>
        <w:t xml:space="preserve"> </w:t>
      </w:r>
      <w:r w:rsidR="002B7A7A">
        <w:rPr>
          <w:b/>
          <w:bCs/>
          <w:sz w:val="36"/>
          <w:szCs w:val="36"/>
        </w:rPr>
        <w:t>AGGIUN</w:t>
      </w:r>
      <w:r w:rsidR="000B40CB">
        <w:rPr>
          <w:b/>
          <w:bCs/>
          <w:sz w:val="36"/>
          <w:szCs w:val="36"/>
        </w:rPr>
        <w:t xml:space="preserve">TI </w:t>
      </w:r>
      <w:r w:rsidR="0073697C">
        <w:rPr>
          <w:b/>
          <w:bCs/>
          <w:sz w:val="36"/>
          <w:szCs w:val="36"/>
        </w:rPr>
        <w:t>AL</w:t>
      </w:r>
      <w:r w:rsidRPr="00E36560">
        <w:rPr>
          <w:b/>
          <w:bCs/>
          <w:sz w:val="36"/>
          <w:szCs w:val="36"/>
        </w:rPr>
        <w:t xml:space="preserve">LA </w:t>
      </w:r>
      <w:r w:rsidRPr="0087608D">
        <w:rPr>
          <w:b/>
          <w:bCs/>
          <w:sz w:val="36"/>
          <w:szCs w:val="36"/>
        </w:rPr>
        <w:t xml:space="preserve">SANITÀ </w:t>
      </w:r>
      <w:r w:rsidR="0073697C" w:rsidRPr="0087608D">
        <w:rPr>
          <w:b/>
          <w:bCs/>
          <w:sz w:val="36"/>
          <w:szCs w:val="36"/>
        </w:rPr>
        <w:t xml:space="preserve">€ 2,4 MILIARDI </w:t>
      </w:r>
      <w:r w:rsidR="000B40CB" w:rsidRPr="0087608D">
        <w:rPr>
          <w:b/>
          <w:bCs/>
          <w:sz w:val="36"/>
          <w:szCs w:val="36"/>
        </w:rPr>
        <w:br/>
      </w:r>
      <w:r w:rsidR="0073697C" w:rsidRPr="0087608D">
        <w:rPr>
          <w:b/>
          <w:bCs/>
          <w:sz w:val="36"/>
          <w:szCs w:val="36"/>
        </w:rPr>
        <w:t xml:space="preserve">NEL 2026 E € 2,65 </w:t>
      </w:r>
      <w:r w:rsidR="008B3ACD">
        <w:rPr>
          <w:b/>
          <w:bCs/>
          <w:sz w:val="36"/>
          <w:szCs w:val="36"/>
        </w:rPr>
        <w:t xml:space="preserve">MILIARDI </w:t>
      </w:r>
      <w:r w:rsidR="0073697C" w:rsidRPr="0087608D">
        <w:rPr>
          <w:b/>
          <w:bCs/>
          <w:sz w:val="36"/>
          <w:szCs w:val="36"/>
        </w:rPr>
        <w:t>NEL 202</w:t>
      </w:r>
      <w:r w:rsidR="00AB2F5D">
        <w:rPr>
          <w:b/>
          <w:bCs/>
          <w:sz w:val="36"/>
          <w:szCs w:val="36"/>
        </w:rPr>
        <w:t>7</w:t>
      </w:r>
      <w:r w:rsidR="0073697C" w:rsidRPr="0087608D">
        <w:rPr>
          <w:b/>
          <w:bCs/>
          <w:sz w:val="36"/>
          <w:szCs w:val="36"/>
        </w:rPr>
        <w:t xml:space="preserve"> E</w:t>
      </w:r>
      <w:bookmarkStart w:id="0" w:name="_GoBack"/>
      <w:bookmarkEnd w:id="0"/>
      <w:r w:rsidR="0073697C" w:rsidRPr="0087608D">
        <w:rPr>
          <w:b/>
          <w:bCs/>
          <w:sz w:val="36"/>
          <w:szCs w:val="36"/>
        </w:rPr>
        <w:t xml:space="preserve"> </w:t>
      </w:r>
      <w:r w:rsidR="00AB2F5D">
        <w:rPr>
          <w:b/>
          <w:bCs/>
          <w:sz w:val="36"/>
          <w:szCs w:val="36"/>
        </w:rPr>
        <w:t xml:space="preserve">NEL </w:t>
      </w:r>
      <w:r w:rsidR="0073697C" w:rsidRPr="0087608D">
        <w:rPr>
          <w:b/>
          <w:bCs/>
          <w:sz w:val="36"/>
          <w:szCs w:val="36"/>
        </w:rPr>
        <w:t>202</w:t>
      </w:r>
      <w:r w:rsidR="00AB2F5D">
        <w:rPr>
          <w:b/>
          <w:bCs/>
          <w:sz w:val="36"/>
          <w:szCs w:val="36"/>
        </w:rPr>
        <w:t>8</w:t>
      </w:r>
      <w:r w:rsidR="00F27C3C">
        <w:rPr>
          <w:b/>
          <w:bCs/>
          <w:sz w:val="36"/>
          <w:szCs w:val="36"/>
        </w:rPr>
        <w:t>.</w:t>
      </w:r>
      <w:r w:rsidR="0073697C">
        <w:rPr>
          <w:b/>
          <w:bCs/>
          <w:sz w:val="36"/>
          <w:szCs w:val="36"/>
        </w:rPr>
        <w:br/>
      </w:r>
      <w:r w:rsidR="00AB2F5D">
        <w:rPr>
          <w:b/>
          <w:bCs/>
          <w:sz w:val="36"/>
          <w:szCs w:val="36"/>
        </w:rPr>
        <w:t xml:space="preserve">NEL 2028 </w:t>
      </w:r>
      <w:r w:rsidR="00CA4265" w:rsidRPr="00CA4265">
        <w:rPr>
          <w:b/>
          <w:bCs/>
          <w:sz w:val="36"/>
          <w:szCs w:val="36"/>
        </w:rPr>
        <w:t xml:space="preserve">IL FONDO SANITARIO </w:t>
      </w:r>
      <w:r w:rsidR="00A17436">
        <w:rPr>
          <w:b/>
          <w:bCs/>
          <w:sz w:val="36"/>
          <w:szCs w:val="36"/>
        </w:rPr>
        <w:t xml:space="preserve">ARRIVA </w:t>
      </w:r>
      <w:r w:rsidR="00CA4265" w:rsidRPr="00CA4265">
        <w:rPr>
          <w:b/>
          <w:bCs/>
          <w:sz w:val="36"/>
          <w:szCs w:val="36"/>
        </w:rPr>
        <w:t xml:space="preserve">A € </w:t>
      </w:r>
      <w:r w:rsidR="00AD476B">
        <w:rPr>
          <w:b/>
          <w:bCs/>
          <w:sz w:val="36"/>
          <w:szCs w:val="36"/>
        </w:rPr>
        <w:t>145</w:t>
      </w:r>
      <w:r w:rsidR="00CA4265" w:rsidRPr="00CA4265">
        <w:rPr>
          <w:b/>
          <w:bCs/>
          <w:sz w:val="36"/>
          <w:szCs w:val="36"/>
        </w:rPr>
        <w:t xml:space="preserve"> MILIARDI</w:t>
      </w:r>
      <w:r w:rsidR="00AB2F5D">
        <w:rPr>
          <w:b/>
          <w:bCs/>
          <w:sz w:val="36"/>
          <w:szCs w:val="36"/>
        </w:rPr>
        <w:t>,</w:t>
      </w:r>
      <w:r w:rsidR="00CA4265" w:rsidRPr="00CA4265">
        <w:rPr>
          <w:b/>
          <w:bCs/>
          <w:sz w:val="36"/>
          <w:szCs w:val="36"/>
        </w:rPr>
        <w:t xml:space="preserve"> </w:t>
      </w:r>
      <w:r w:rsidR="00AB2F5D">
        <w:rPr>
          <w:b/>
          <w:bCs/>
          <w:sz w:val="36"/>
          <w:szCs w:val="36"/>
        </w:rPr>
        <w:br/>
        <w:t xml:space="preserve">MA SCENDE AL 5,9% </w:t>
      </w:r>
      <w:r w:rsidR="00CA4265" w:rsidRPr="00CA4265">
        <w:rPr>
          <w:b/>
          <w:bCs/>
          <w:sz w:val="36"/>
          <w:szCs w:val="36"/>
        </w:rPr>
        <w:t>DEL PIL.</w:t>
      </w:r>
    </w:p>
    <w:p w14:paraId="008E64A3" w14:textId="77777777" w:rsidR="00CA4265" w:rsidRDefault="0073697C" w:rsidP="00CA426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AI PROFESSIONISTI SANITARI SOLO BRICIOLE</w:t>
      </w:r>
      <w:r w:rsidR="000B40CB">
        <w:rPr>
          <w:b/>
          <w:bCs/>
          <w:sz w:val="36"/>
          <w:szCs w:val="36"/>
        </w:rPr>
        <w:t>,</w:t>
      </w:r>
      <w:r w:rsidR="00CA4265" w:rsidRPr="00CA4265">
        <w:rPr>
          <w:b/>
          <w:bCs/>
          <w:sz w:val="36"/>
          <w:szCs w:val="36"/>
        </w:rPr>
        <w:t xml:space="preserve"> ASSUNZIONI INFERMIERI POSSIBILI SOLO DALL’ESTERO</w:t>
      </w:r>
      <w:r w:rsidR="00CA4265">
        <w:rPr>
          <w:b/>
          <w:bCs/>
          <w:sz w:val="36"/>
          <w:szCs w:val="36"/>
        </w:rPr>
        <w:t>.</w:t>
      </w:r>
    </w:p>
    <w:p w14:paraId="6C385C12" w14:textId="716AB4FC" w:rsidR="00AA6486" w:rsidRDefault="00CA4265" w:rsidP="0079362D">
      <w:pPr>
        <w:spacing w:after="0"/>
        <w:jc w:val="center"/>
        <w:rPr>
          <w:b/>
          <w:bCs/>
          <w:sz w:val="36"/>
          <w:szCs w:val="36"/>
        </w:rPr>
      </w:pPr>
      <w:r w:rsidRPr="00CA4265">
        <w:rPr>
          <w:b/>
          <w:bCs/>
          <w:sz w:val="36"/>
          <w:szCs w:val="36"/>
        </w:rPr>
        <w:t>NEL 2026 GAP DI € 6,8 MILIARDI RISPETTO ALL</w:t>
      </w:r>
      <w:r w:rsidR="00F54467">
        <w:rPr>
          <w:b/>
          <w:bCs/>
          <w:sz w:val="36"/>
          <w:szCs w:val="36"/>
        </w:rPr>
        <w:t xml:space="preserve">E STIME DI </w:t>
      </w:r>
      <w:r w:rsidRPr="00CA4265">
        <w:rPr>
          <w:b/>
          <w:bCs/>
          <w:sz w:val="36"/>
          <w:szCs w:val="36"/>
        </w:rPr>
        <w:t>SPESA</w:t>
      </w:r>
      <w:r w:rsidR="00F54467">
        <w:rPr>
          <w:b/>
          <w:bCs/>
          <w:sz w:val="36"/>
          <w:szCs w:val="36"/>
        </w:rPr>
        <w:t xml:space="preserve"> SANITARIA</w:t>
      </w:r>
      <w:r w:rsidRPr="00CA4265">
        <w:rPr>
          <w:b/>
          <w:bCs/>
          <w:sz w:val="36"/>
          <w:szCs w:val="36"/>
        </w:rPr>
        <w:t>: LA COPERTA DELLE REGIONI È SEMPRE PIÙ CORTA</w:t>
      </w:r>
      <w:r>
        <w:rPr>
          <w:b/>
          <w:bCs/>
          <w:sz w:val="36"/>
          <w:szCs w:val="36"/>
        </w:rPr>
        <w:t>.</w:t>
      </w:r>
      <w:r w:rsidR="000B40CB">
        <w:rPr>
          <w:b/>
          <w:bCs/>
          <w:sz w:val="36"/>
          <w:szCs w:val="36"/>
        </w:rPr>
        <w:br/>
      </w:r>
      <w:r w:rsidRPr="00CA4265">
        <w:rPr>
          <w:b/>
          <w:bCs/>
          <w:sz w:val="36"/>
          <w:szCs w:val="36"/>
        </w:rPr>
        <w:t>DAL GOVERNO SOLO</w:t>
      </w:r>
      <w:r w:rsidR="000E0391">
        <w:rPr>
          <w:b/>
          <w:bCs/>
          <w:sz w:val="36"/>
          <w:szCs w:val="36"/>
        </w:rPr>
        <w:t xml:space="preserve"> MISURE</w:t>
      </w:r>
      <w:r w:rsidRPr="00CA4265">
        <w:rPr>
          <w:b/>
          <w:bCs/>
          <w:sz w:val="36"/>
          <w:szCs w:val="36"/>
        </w:rPr>
        <w:t xml:space="preserve"> FRAMMENTATE</w:t>
      </w:r>
      <w:r w:rsidR="000E0391">
        <w:rPr>
          <w:b/>
          <w:bCs/>
          <w:sz w:val="36"/>
          <w:szCs w:val="36"/>
        </w:rPr>
        <w:t xml:space="preserve">, </w:t>
      </w:r>
      <w:r w:rsidRPr="00CA4265">
        <w:rPr>
          <w:b/>
          <w:bCs/>
          <w:sz w:val="36"/>
          <w:szCs w:val="36"/>
        </w:rPr>
        <w:t>E NESSUN RILANCIO DEL</w:t>
      </w:r>
      <w:r>
        <w:rPr>
          <w:b/>
          <w:bCs/>
          <w:sz w:val="36"/>
          <w:szCs w:val="36"/>
        </w:rPr>
        <w:t xml:space="preserve"> SSN</w:t>
      </w:r>
    </w:p>
    <w:p w14:paraId="46454112" w14:textId="78832A3C" w:rsidR="005B4F61" w:rsidRPr="008B3612" w:rsidRDefault="008B3612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8B3612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BA4E36">
        <w:rPr>
          <w:rFonts w:ascii="Calibri" w:eastAsia="Calibri" w:hAnsi="Calibri" w:cs="Times New Roman"/>
          <w:b/>
          <w:bCs/>
          <w:sz w:val="24"/>
          <w:szCs w:val="24"/>
        </w:rPr>
        <w:t>3</w:t>
      </w:r>
      <w:r w:rsidR="00664D3E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02FC4" w:rsidRPr="008B3612">
        <w:rPr>
          <w:rFonts w:ascii="Calibri" w:eastAsia="Calibri" w:hAnsi="Calibri" w:cs="Times New Roman"/>
          <w:b/>
          <w:bCs/>
          <w:sz w:val="24"/>
          <w:szCs w:val="24"/>
        </w:rPr>
        <w:t>ottobre</w:t>
      </w:r>
      <w:r w:rsidR="00C62367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 w:rsidRPr="008B3612">
        <w:rPr>
          <w:rFonts w:ascii="Calibri" w:eastAsia="Calibri" w:hAnsi="Calibri" w:cs="Times New Roman"/>
          <w:b/>
          <w:bCs/>
          <w:sz w:val="24"/>
          <w:szCs w:val="24"/>
        </w:rPr>
        <w:t>20</w:t>
      </w:r>
      <w:r w:rsidR="004F5B37" w:rsidRPr="008B3612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7C322E">
        <w:rPr>
          <w:rFonts w:ascii="Calibri" w:eastAsia="Calibri" w:hAnsi="Calibri" w:cs="Times New Roman"/>
          <w:b/>
          <w:bCs/>
          <w:sz w:val="24"/>
          <w:szCs w:val="24"/>
        </w:rPr>
        <w:t>5</w:t>
      </w:r>
      <w:r w:rsidR="005B4F61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- Fondazione GIMBE, </w:t>
      </w:r>
      <w:r w:rsidR="00815D4F" w:rsidRPr="008B3612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14:paraId="296DC3A3" w14:textId="02B84358" w:rsidR="001E0031" w:rsidRDefault="003C6E53" w:rsidP="003C6E53">
      <w:pPr>
        <w:spacing w:after="120"/>
        <w:jc w:val="both"/>
        <w:rPr>
          <w:rFonts w:cstheme="minorHAnsi"/>
        </w:rPr>
      </w:pPr>
      <w:r>
        <w:rPr>
          <w:rFonts w:cstheme="minorHAnsi"/>
        </w:rPr>
        <w:t>Secondo il disegno di Legge di Bilancio 2026, il Fondo Sanitario Nazionale (FSN) raggiungerà € 143,</w:t>
      </w:r>
      <w:r w:rsidR="00AD476B">
        <w:rPr>
          <w:rFonts w:cstheme="minorHAnsi"/>
        </w:rPr>
        <w:t>1</w:t>
      </w:r>
      <w:r>
        <w:rPr>
          <w:rFonts w:cstheme="minorHAnsi"/>
        </w:rPr>
        <w:t xml:space="preserve"> miliardi nel 2026, € 14</w:t>
      </w:r>
      <w:r w:rsidR="00AD476B">
        <w:rPr>
          <w:rFonts w:cstheme="minorHAnsi"/>
        </w:rPr>
        <w:t>4</w:t>
      </w:r>
      <w:r>
        <w:rPr>
          <w:rFonts w:cstheme="minorHAnsi"/>
        </w:rPr>
        <w:t>,</w:t>
      </w:r>
      <w:r w:rsidR="00AD476B">
        <w:rPr>
          <w:rFonts w:cstheme="minorHAnsi"/>
        </w:rPr>
        <w:t>1</w:t>
      </w:r>
      <w:r>
        <w:rPr>
          <w:rFonts w:cstheme="minorHAnsi"/>
        </w:rPr>
        <w:t xml:space="preserve"> miliardi nel 2027 e € </w:t>
      </w:r>
      <w:r w:rsidR="00AD476B">
        <w:rPr>
          <w:rFonts w:cstheme="minorHAnsi"/>
        </w:rPr>
        <w:t>145</w:t>
      </w:r>
      <w:r>
        <w:rPr>
          <w:rFonts w:cstheme="minorHAnsi"/>
        </w:rPr>
        <w:t xml:space="preserve"> miliardi nel 2028. «</w:t>
      </w:r>
      <w:r w:rsidRPr="00F36F4F">
        <w:t>Va riconosciuto al Governo – afferma Nino Cartabellotta, Presidente della Fondazione GIMBE –</w:t>
      </w:r>
      <w:r w:rsidR="00F36F4F" w:rsidRPr="00F36F4F">
        <w:t xml:space="preserve"> il merito di </w:t>
      </w:r>
      <w:r w:rsidR="00883ED7">
        <w:t>aver</w:t>
      </w:r>
      <w:r w:rsidR="002B27C7">
        <w:t xml:space="preserve"> ottenuto </w:t>
      </w:r>
      <w:r w:rsidR="00F36F4F" w:rsidRPr="00F36F4F">
        <w:t xml:space="preserve">un </w:t>
      </w:r>
      <w:r w:rsidR="00313E84">
        <w:t>rilevante</w:t>
      </w:r>
      <w:r w:rsidR="00313E84" w:rsidRPr="00F36F4F">
        <w:t xml:space="preserve"> </w:t>
      </w:r>
      <w:r w:rsidRPr="00F36F4F">
        <w:t>incremento del FSN</w:t>
      </w:r>
      <w:r w:rsidR="00883ED7">
        <w:t xml:space="preserve"> dal </w:t>
      </w:r>
      <w:r w:rsidRPr="00F36F4F">
        <w:t xml:space="preserve">2025 </w:t>
      </w:r>
      <w:r w:rsidR="00883ED7">
        <w:t xml:space="preserve">al </w:t>
      </w:r>
      <w:r w:rsidRPr="00F36F4F">
        <w:t>2026</w:t>
      </w:r>
      <w:r w:rsidR="00883ED7">
        <w:t xml:space="preserve">: ben </w:t>
      </w:r>
      <w:r w:rsidR="00883ED7" w:rsidRPr="00F36F4F">
        <w:t>€ 6,6 miliardi</w:t>
      </w:r>
      <w:r w:rsidR="00883ED7">
        <w:t xml:space="preserve">, </w:t>
      </w:r>
      <w:r w:rsidR="00313E84">
        <w:t>di cui</w:t>
      </w:r>
      <w:r w:rsidRPr="00F36F4F">
        <w:t xml:space="preserve"> € 4,2 miliardi già stanziati nelle </w:t>
      </w:r>
      <w:r w:rsidR="00313E84">
        <w:t>precedenti</w:t>
      </w:r>
      <w:r w:rsidR="00313E84" w:rsidRPr="00F36F4F">
        <w:t xml:space="preserve"> </w:t>
      </w:r>
      <w:r w:rsidRPr="00F36F4F">
        <w:t xml:space="preserve">manovre. </w:t>
      </w:r>
      <w:r>
        <w:t xml:space="preserve">Complessivamente, la Manovra 2026 assegna alla sanità € 7,7 miliardi per il triennio 2026-2028: </w:t>
      </w:r>
      <w:r w:rsidR="00313E84">
        <w:t xml:space="preserve">tuttavia, </w:t>
      </w:r>
      <w:r>
        <w:t>in rapporto al PIL, la quota</w:t>
      </w:r>
      <w:r>
        <w:rPr>
          <w:rFonts w:cstheme="minorHAnsi"/>
        </w:rPr>
        <w:t xml:space="preserve"> di ricchezza del Paese </w:t>
      </w:r>
      <w:r w:rsidR="00313E84">
        <w:rPr>
          <w:rFonts w:cstheme="minorHAnsi"/>
        </w:rPr>
        <w:t>destinata alla</w:t>
      </w:r>
      <w:r>
        <w:rPr>
          <w:rFonts w:cstheme="minorHAnsi"/>
        </w:rPr>
        <w:t xml:space="preserve"> sanità</w:t>
      </w:r>
      <w:r w:rsidR="00313E84">
        <w:rPr>
          <w:rFonts w:cstheme="minorHAnsi"/>
        </w:rPr>
        <w:t>,</w:t>
      </w:r>
      <w:r>
        <w:rPr>
          <w:rFonts w:cstheme="minorHAnsi"/>
        </w:rPr>
        <w:t xml:space="preserve"> dopo un </w:t>
      </w:r>
      <w:r w:rsidR="00313E84">
        <w:rPr>
          <w:rFonts w:cstheme="minorHAnsi"/>
        </w:rPr>
        <w:t>lieve aumento</w:t>
      </w:r>
      <w:r>
        <w:rPr>
          <w:rFonts w:cstheme="minorHAnsi"/>
        </w:rPr>
        <w:t xml:space="preserve"> nel 2026</w:t>
      </w:r>
      <w:r w:rsidR="00313E8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313E84">
        <w:rPr>
          <w:rFonts w:cstheme="minorHAnsi"/>
        </w:rPr>
        <w:t xml:space="preserve">scenderà </w:t>
      </w:r>
      <w:r w:rsidR="00AD476B">
        <w:rPr>
          <w:rFonts w:cstheme="minorHAnsi"/>
        </w:rPr>
        <w:t xml:space="preserve">sotto la soglia </w:t>
      </w:r>
      <w:r w:rsidR="00313E84">
        <w:rPr>
          <w:rFonts w:cstheme="minorHAnsi"/>
        </w:rPr>
        <w:t>“</w:t>
      </w:r>
      <w:r w:rsidR="00AD476B">
        <w:rPr>
          <w:rFonts w:cstheme="minorHAnsi"/>
        </w:rPr>
        <w:t>psicologica</w:t>
      </w:r>
      <w:r w:rsidR="00313E84">
        <w:rPr>
          <w:rFonts w:cstheme="minorHAnsi"/>
        </w:rPr>
        <w:t>”</w:t>
      </w:r>
      <w:r w:rsidR="00AD476B">
        <w:rPr>
          <w:rFonts w:cstheme="minorHAnsi"/>
        </w:rPr>
        <w:t xml:space="preserve"> del 6</w:t>
      </w:r>
      <w:r>
        <w:rPr>
          <w:rFonts w:cstheme="minorHAnsi"/>
        </w:rPr>
        <w:t xml:space="preserve">% nel 2028. Inoltre, </w:t>
      </w:r>
      <w:r w:rsidR="007A1B16">
        <w:rPr>
          <w:rFonts w:cstheme="minorHAnsi"/>
        </w:rPr>
        <w:t xml:space="preserve">la frammentazione di </w:t>
      </w:r>
      <w:r>
        <w:rPr>
          <w:rFonts w:cstheme="minorHAnsi"/>
        </w:rPr>
        <w:t xml:space="preserve">misure e investimenti </w:t>
      </w:r>
      <w:r w:rsidR="007A1B16">
        <w:rPr>
          <w:rFonts w:cstheme="minorHAnsi"/>
        </w:rPr>
        <w:t xml:space="preserve">sembra più orientata </w:t>
      </w:r>
      <w:r w:rsidR="00313E84">
        <w:t>a soddisfare</w:t>
      </w:r>
      <w:r>
        <w:t xml:space="preserve"> i diversi attori che </w:t>
      </w:r>
      <w:r w:rsidR="007A1B16" w:rsidRPr="007A1B16">
        <w:t>a delineare una strategia di rilancio d</w:t>
      </w:r>
      <w:r w:rsidR="007A1B16">
        <w:t xml:space="preserve">i un </w:t>
      </w:r>
      <w:r>
        <w:t>Servizio Sanitario Nazionale (SSN) in grave affanno. Un sistema in cui regnano inaccettabili diseguaglianze e dove, nel 2024, i cittadini hanno speso di tasca propria oltre € 41 miliardi per curarsi</w:t>
      </w:r>
      <w:r w:rsidR="00883ED7">
        <w:t xml:space="preserve"> e </w:t>
      </w:r>
      <w:r>
        <w:t xml:space="preserve">5,8 milioni di persone hanno rinunciato </w:t>
      </w:r>
      <w:r w:rsidR="00313E84">
        <w:t xml:space="preserve">a </w:t>
      </w:r>
      <w:r>
        <w:t>prestazioni sanitarie</w:t>
      </w:r>
      <w:r>
        <w:rPr>
          <w:rFonts w:cstheme="minorHAnsi"/>
        </w:rPr>
        <w:t xml:space="preserve">». </w:t>
      </w:r>
    </w:p>
    <w:p w14:paraId="58585412" w14:textId="3F3431B2" w:rsidR="003C6E53" w:rsidRDefault="002B27C7" w:rsidP="003C6E53">
      <w:pPr>
        <w:spacing w:after="120"/>
        <w:jc w:val="both"/>
        <w:rPr>
          <w:rFonts w:cstheme="minorHAnsi"/>
        </w:rPr>
      </w:pPr>
      <w:r w:rsidRPr="002B27C7">
        <w:rPr>
          <w:rFonts w:cstheme="minorHAnsi"/>
        </w:rPr>
        <w:t xml:space="preserve">Per offrire un quadro basato su dati oggettivi e contribuire al dibattito pubblico in vista della discussione parlamentare sul </w:t>
      </w:r>
      <w:proofErr w:type="spellStart"/>
      <w:r w:rsidRPr="002B27C7">
        <w:rPr>
          <w:rFonts w:cstheme="minorHAnsi"/>
        </w:rPr>
        <w:t>DdL</w:t>
      </w:r>
      <w:proofErr w:type="spellEnd"/>
      <w:r w:rsidRPr="002B27C7">
        <w:rPr>
          <w:rFonts w:cstheme="minorHAnsi"/>
        </w:rPr>
        <w:t xml:space="preserve"> Bilancio 2026, la Fondazione GIMBE ha condotto </w:t>
      </w:r>
      <w:r w:rsidR="002E1B3F">
        <w:rPr>
          <w:rFonts w:cstheme="minorHAnsi"/>
        </w:rPr>
        <w:t xml:space="preserve">sul </w:t>
      </w:r>
      <w:r w:rsidR="002E1B3F" w:rsidRPr="00B33CA8">
        <w:rPr>
          <w:rFonts w:cstheme="minorHAnsi"/>
        </w:rPr>
        <w:t>testo bollinato dalla R</w:t>
      </w:r>
      <w:r w:rsidR="002E1B3F">
        <w:rPr>
          <w:rFonts w:cstheme="minorHAnsi"/>
        </w:rPr>
        <w:t xml:space="preserve">agioneria Generale dello </w:t>
      </w:r>
      <w:r w:rsidR="002E1B3F" w:rsidRPr="00B33CA8">
        <w:rPr>
          <w:rFonts w:cstheme="minorHAnsi"/>
        </w:rPr>
        <w:t>S</w:t>
      </w:r>
      <w:r w:rsidR="002E1B3F">
        <w:rPr>
          <w:rFonts w:cstheme="minorHAnsi"/>
        </w:rPr>
        <w:t>tato</w:t>
      </w:r>
      <w:r w:rsidR="002E1B3F" w:rsidRPr="002B27C7">
        <w:rPr>
          <w:rFonts w:cstheme="minorHAnsi"/>
        </w:rPr>
        <w:t xml:space="preserve"> </w:t>
      </w:r>
      <w:r w:rsidRPr="002B27C7">
        <w:rPr>
          <w:rFonts w:cstheme="minorHAnsi"/>
        </w:rPr>
        <w:t>un’analisi indipendente</w:t>
      </w:r>
      <w:r>
        <w:rPr>
          <w:rFonts w:cstheme="minorHAnsi"/>
        </w:rPr>
        <w:t xml:space="preserve"> sulle risorse assegnate alla sanità. </w:t>
      </w:r>
      <w:r w:rsidR="003C6E53">
        <w:rPr>
          <w:rFonts w:cstheme="minorHAnsi"/>
        </w:rPr>
        <w:t>«</w:t>
      </w:r>
      <w:r w:rsidR="00313E84">
        <w:rPr>
          <w:rFonts w:cstheme="minorHAnsi"/>
        </w:rPr>
        <w:t>L’obiettivo</w:t>
      </w:r>
      <w:r w:rsidR="003C6E53">
        <w:rPr>
          <w:rFonts w:cstheme="minorHAnsi"/>
        </w:rPr>
        <w:t xml:space="preserve"> </w:t>
      </w:r>
      <w:r w:rsidR="003C6E53">
        <w:t>–</w:t>
      </w:r>
      <w:r w:rsidR="003C6E53">
        <w:rPr>
          <w:rFonts w:cstheme="minorHAnsi"/>
        </w:rPr>
        <w:t xml:space="preserve"> </w:t>
      </w:r>
      <w:r w:rsidR="00313E84">
        <w:rPr>
          <w:rFonts w:cstheme="minorHAnsi"/>
        </w:rPr>
        <w:t xml:space="preserve">precisa </w:t>
      </w:r>
      <w:r w:rsidR="003C6E53">
        <w:t xml:space="preserve">il Presidente – </w:t>
      </w:r>
      <w:r w:rsidR="00313E84">
        <w:t xml:space="preserve">è </w:t>
      </w:r>
      <w:r w:rsidR="003C6E53">
        <w:t xml:space="preserve">verificare se, </w:t>
      </w:r>
      <w:r w:rsidR="00313E84">
        <w:t xml:space="preserve">al di là delle </w:t>
      </w:r>
      <w:r w:rsidR="003C6E53">
        <w:t xml:space="preserve">cifre assolute, la Manovra 2026 rappresenti davvero un’inversione di </w:t>
      </w:r>
      <w:r w:rsidR="00313E84">
        <w:t>tendenza</w:t>
      </w:r>
      <w:r w:rsidR="003C6E53">
        <w:t xml:space="preserve">, con un rilancio progressivo e </w:t>
      </w:r>
      <w:r w:rsidR="00313E84">
        <w:t xml:space="preserve">strutturale </w:t>
      </w:r>
      <w:r w:rsidR="003C6E53">
        <w:t xml:space="preserve">del FSN, oppure </w:t>
      </w:r>
      <w:r w:rsidR="00313E84">
        <w:t>se si tratti del</w:t>
      </w:r>
      <w:r w:rsidR="003C6E53">
        <w:t xml:space="preserve">l’ennesima illusione contabile, </w:t>
      </w:r>
      <w:r w:rsidR="00B0144E">
        <w:t xml:space="preserve">che </w:t>
      </w:r>
      <w:r w:rsidR="003C6E53">
        <w:t>abbaglia</w:t>
      </w:r>
      <w:r w:rsidR="00B0144E">
        <w:t xml:space="preserve"> con </w:t>
      </w:r>
      <w:r w:rsidR="00313E84">
        <w:t xml:space="preserve">numeri </w:t>
      </w:r>
      <w:r w:rsidR="003C6E53">
        <w:t>altisonanti abilmente combinat</w:t>
      </w:r>
      <w:r w:rsidR="00313E84">
        <w:t>i</w:t>
      </w:r>
      <w:r w:rsidR="003C6E53">
        <w:rPr>
          <w:rFonts w:cstheme="minorHAnsi"/>
        </w:rPr>
        <w:t>».</w:t>
      </w:r>
    </w:p>
    <w:p w14:paraId="7955BE15" w14:textId="6C64753C" w:rsidR="00251822" w:rsidRDefault="003C6E53" w:rsidP="00C64814">
      <w:pPr>
        <w:jc w:val="both"/>
        <w:rPr>
          <w:rFonts w:cstheme="minorHAnsi"/>
        </w:rPr>
      </w:pPr>
      <w:r>
        <w:rPr>
          <w:rFonts w:cstheme="minorHAnsi"/>
          <w:b/>
          <w:bCs/>
        </w:rPr>
        <w:t>FONDO SANITARIO NAZIONALE</w:t>
      </w:r>
      <w:r>
        <w:rPr>
          <w:rFonts w:cstheme="minorHAnsi"/>
        </w:rPr>
        <w:t xml:space="preserve">. </w:t>
      </w:r>
      <w:r w:rsidR="000D2546">
        <w:rPr>
          <w:rFonts w:cstheme="minorHAnsi"/>
        </w:rPr>
        <w:t xml:space="preserve">La </w:t>
      </w:r>
      <w:r>
        <w:rPr>
          <w:rFonts w:cstheme="minorHAnsi"/>
        </w:rPr>
        <w:t xml:space="preserve">Manovra 2026 </w:t>
      </w:r>
      <w:r w:rsidR="000D2546">
        <w:rPr>
          <w:rFonts w:cstheme="minorHAnsi"/>
        </w:rPr>
        <w:t xml:space="preserve">stanzia </w:t>
      </w:r>
      <w:r>
        <w:rPr>
          <w:rFonts w:cstheme="minorHAnsi"/>
        </w:rPr>
        <w:t xml:space="preserve">complessivamente € 7,7 miliardi: € 2,4 miliardi nel 2026, € 2,65 miliardi nel 2027 e </w:t>
      </w:r>
      <w:r w:rsidR="000D2546">
        <w:rPr>
          <w:rFonts w:cstheme="minorHAnsi"/>
        </w:rPr>
        <w:t>€ 2,65</w:t>
      </w:r>
      <w:r w:rsidR="008B3ACD">
        <w:rPr>
          <w:rFonts w:cstheme="minorHAnsi"/>
        </w:rPr>
        <w:t xml:space="preserve"> miliardi</w:t>
      </w:r>
      <w:r w:rsidR="000D2546">
        <w:rPr>
          <w:rFonts w:cstheme="minorHAnsi"/>
        </w:rPr>
        <w:t xml:space="preserve"> </w:t>
      </w:r>
      <w:r>
        <w:rPr>
          <w:rFonts w:cstheme="minorHAnsi"/>
        </w:rPr>
        <w:t xml:space="preserve">nel 2028. </w:t>
      </w:r>
      <w:r w:rsidR="00B0144E">
        <w:rPr>
          <w:rFonts w:cstheme="minorHAnsi"/>
        </w:rPr>
        <w:t xml:space="preserve">Considerando </w:t>
      </w:r>
      <w:r w:rsidR="002A16D0">
        <w:rPr>
          <w:rFonts w:cstheme="minorHAnsi"/>
        </w:rPr>
        <w:t xml:space="preserve">anche </w:t>
      </w:r>
      <w:r w:rsidR="00251822">
        <w:rPr>
          <w:rFonts w:cstheme="minorHAnsi"/>
        </w:rPr>
        <w:t>gli stanziamenti già previsti</w:t>
      </w:r>
      <w:r>
        <w:rPr>
          <w:rFonts w:cstheme="minorHAnsi"/>
        </w:rPr>
        <w:t xml:space="preserve"> dalle precedenti manovre, </w:t>
      </w:r>
      <w:r w:rsidRPr="00AD476B">
        <w:rPr>
          <w:rFonts w:cstheme="minorHAnsi"/>
        </w:rPr>
        <w:t xml:space="preserve">il FSN </w:t>
      </w:r>
      <w:r w:rsidR="00F36F4F">
        <w:rPr>
          <w:rFonts w:cstheme="minorHAnsi"/>
        </w:rPr>
        <w:t>raggiunge</w:t>
      </w:r>
      <w:r w:rsidR="00251822">
        <w:rPr>
          <w:rFonts w:cstheme="minorHAnsi"/>
        </w:rPr>
        <w:t>rà</w:t>
      </w:r>
      <w:r w:rsidR="000F2FF8" w:rsidRPr="00AD476B">
        <w:rPr>
          <w:rFonts w:cstheme="minorHAnsi"/>
        </w:rPr>
        <w:t xml:space="preserve"> </w:t>
      </w:r>
      <w:r w:rsidRPr="00AD476B">
        <w:rPr>
          <w:rFonts w:cstheme="minorHAnsi"/>
        </w:rPr>
        <w:t>€ 143,</w:t>
      </w:r>
      <w:r w:rsidR="000F2FF8" w:rsidRPr="00AD476B">
        <w:rPr>
          <w:rFonts w:cstheme="minorHAnsi"/>
        </w:rPr>
        <w:t>1</w:t>
      </w:r>
      <w:r w:rsidRPr="00AD476B">
        <w:rPr>
          <w:rFonts w:cstheme="minorHAnsi"/>
        </w:rPr>
        <w:t xml:space="preserve"> miliardi </w:t>
      </w:r>
      <w:r w:rsidR="000D2546">
        <w:rPr>
          <w:rFonts w:cstheme="minorHAnsi"/>
        </w:rPr>
        <w:t xml:space="preserve">nel </w:t>
      </w:r>
      <w:r>
        <w:rPr>
          <w:rFonts w:cstheme="minorHAnsi"/>
        </w:rPr>
        <w:t>2026, € 14</w:t>
      </w:r>
      <w:r w:rsidR="000F2FF8">
        <w:rPr>
          <w:rFonts w:cstheme="minorHAnsi"/>
        </w:rPr>
        <w:t>4</w:t>
      </w:r>
      <w:r>
        <w:rPr>
          <w:rFonts w:cstheme="minorHAnsi"/>
        </w:rPr>
        <w:t>,</w:t>
      </w:r>
      <w:r w:rsidR="000F2FF8">
        <w:rPr>
          <w:rFonts w:cstheme="minorHAnsi"/>
        </w:rPr>
        <w:t>1</w:t>
      </w:r>
      <w:r w:rsidR="00B21DE7">
        <w:rPr>
          <w:rFonts w:cstheme="minorHAnsi"/>
        </w:rPr>
        <w:t xml:space="preserve"> </w:t>
      </w:r>
      <w:r>
        <w:rPr>
          <w:rFonts w:cstheme="minorHAnsi"/>
        </w:rPr>
        <w:t xml:space="preserve">miliardi </w:t>
      </w:r>
      <w:r w:rsidR="00251822">
        <w:rPr>
          <w:rFonts w:cstheme="minorHAnsi"/>
        </w:rPr>
        <w:t>nel</w:t>
      </w:r>
      <w:r>
        <w:rPr>
          <w:rFonts w:cstheme="minorHAnsi"/>
        </w:rPr>
        <w:t xml:space="preserve"> 2027 e € 14</w:t>
      </w:r>
      <w:r w:rsidR="000F2FF8">
        <w:rPr>
          <w:rFonts w:cstheme="minorHAnsi"/>
        </w:rPr>
        <w:t>5</w:t>
      </w:r>
      <w:r>
        <w:rPr>
          <w:rFonts w:cstheme="minorHAnsi"/>
        </w:rPr>
        <w:t xml:space="preserve"> miliardi </w:t>
      </w:r>
      <w:r w:rsidR="00251822">
        <w:rPr>
          <w:rFonts w:cstheme="minorHAnsi"/>
        </w:rPr>
        <w:t>nel</w:t>
      </w:r>
      <w:r>
        <w:rPr>
          <w:rFonts w:cstheme="minorHAnsi"/>
        </w:rPr>
        <w:t xml:space="preserve"> </w:t>
      </w:r>
      <w:r w:rsidRPr="00A17436">
        <w:rPr>
          <w:rFonts w:cstheme="minorHAnsi"/>
        </w:rPr>
        <w:t xml:space="preserve">2028. In particolare, nel 2026 </w:t>
      </w:r>
      <w:r w:rsidR="000F2FF8" w:rsidRPr="00A17436">
        <w:rPr>
          <w:rFonts w:cstheme="minorHAnsi"/>
        </w:rPr>
        <w:t xml:space="preserve">il FSN </w:t>
      </w:r>
      <w:r w:rsidRPr="00A17436">
        <w:rPr>
          <w:rFonts w:cstheme="minorHAnsi"/>
        </w:rPr>
        <w:t xml:space="preserve">crescerà di </w:t>
      </w:r>
      <w:r w:rsidR="000D2546">
        <w:rPr>
          <w:rFonts w:cstheme="minorHAnsi"/>
        </w:rPr>
        <w:t xml:space="preserve">ben </w:t>
      </w:r>
      <w:r w:rsidRPr="00A17436">
        <w:rPr>
          <w:rFonts w:cstheme="minorHAnsi"/>
        </w:rPr>
        <w:t>€ 6,6 miliardi (+</w:t>
      </w:r>
      <w:r w:rsidR="00B21DE7" w:rsidRPr="00A17436">
        <w:rPr>
          <w:rFonts w:cstheme="minorHAnsi"/>
        </w:rPr>
        <w:t>4</w:t>
      </w:r>
      <w:r w:rsidRPr="00A17436">
        <w:rPr>
          <w:rFonts w:cstheme="minorHAnsi"/>
        </w:rPr>
        <w:t>,</w:t>
      </w:r>
      <w:r w:rsidR="00B21DE7" w:rsidRPr="00A17436">
        <w:rPr>
          <w:rFonts w:cstheme="minorHAnsi"/>
        </w:rPr>
        <w:t>8</w:t>
      </w:r>
      <w:r w:rsidRPr="00A17436">
        <w:rPr>
          <w:rFonts w:cstheme="minorHAnsi"/>
        </w:rPr>
        <w:t>%)</w:t>
      </w:r>
      <w:r w:rsidR="00C64814" w:rsidRPr="00A17436">
        <w:rPr>
          <w:rFonts w:cstheme="minorHAnsi"/>
        </w:rPr>
        <w:t xml:space="preserve"> </w:t>
      </w:r>
      <w:r w:rsidR="00D27A96" w:rsidRPr="00A17436">
        <w:rPr>
          <w:rFonts w:cstheme="minorHAnsi"/>
        </w:rPr>
        <w:t xml:space="preserve">rispetto al 2025: </w:t>
      </w:r>
      <w:r w:rsidR="000D2546">
        <w:rPr>
          <w:rFonts w:cstheme="minorHAnsi"/>
        </w:rPr>
        <w:t xml:space="preserve">infatti, </w:t>
      </w:r>
      <w:r w:rsidR="00251822">
        <w:rPr>
          <w:rFonts w:cstheme="minorHAnsi"/>
        </w:rPr>
        <w:t>ai</w:t>
      </w:r>
      <w:r w:rsidR="00D27A96" w:rsidRPr="00A17436">
        <w:rPr>
          <w:rFonts w:cstheme="minorHAnsi"/>
        </w:rPr>
        <w:t xml:space="preserve"> € </w:t>
      </w:r>
      <w:r w:rsidR="00C64814" w:rsidRPr="00A17436">
        <w:rPr>
          <w:rFonts w:cstheme="minorHAnsi"/>
        </w:rPr>
        <w:t>4,2 miliardi</w:t>
      </w:r>
      <w:r w:rsidR="00251822">
        <w:rPr>
          <w:rFonts w:cstheme="minorHAnsi"/>
        </w:rPr>
        <w:t xml:space="preserve"> già previsti</w:t>
      </w:r>
      <w:r w:rsidR="00C64814" w:rsidRPr="00A17436">
        <w:rPr>
          <w:rFonts w:cstheme="minorHAnsi"/>
        </w:rPr>
        <w:t xml:space="preserve"> (da € 136,5 miliardi nel 2025 a € 140,7 miliardi nel 2026</w:t>
      </w:r>
      <w:r w:rsidR="00D27A96" w:rsidRPr="00A17436">
        <w:rPr>
          <w:rFonts w:cstheme="minorHAnsi"/>
        </w:rPr>
        <w:t>)</w:t>
      </w:r>
      <w:r w:rsidR="00251822">
        <w:rPr>
          <w:rFonts w:cstheme="minorHAnsi"/>
        </w:rPr>
        <w:t>,</w:t>
      </w:r>
      <w:r w:rsidR="0063072A">
        <w:rPr>
          <w:rFonts w:cstheme="minorHAnsi"/>
        </w:rPr>
        <w:t xml:space="preserve"> </w:t>
      </w:r>
      <w:r w:rsidR="00C64814" w:rsidRPr="00A17436">
        <w:rPr>
          <w:rFonts w:cstheme="minorHAnsi"/>
        </w:rPr>
        <w:t xml:space="preserve">la Manovra 2026 </w:t>
      </w:r>
      <w:r w:rsidR="0063072A">
        <w:rPr>
          <w:rFonts w:cstheme="minorHAnsi"/>
        </w:rPr>
        <w:t>aggiunge</w:t>
      </w:r>
      <w:r w:rsidR="00C64814" w:rsidRPr="00A17436">
        <w:rPr>
          <w:rFonts w:cstheme="minorHAnsi"/>
        </w:rPr>
        <w:t xml:space="preserve"> ulteriori € 2,4 miliardi</w:t>
      </w:r>
      <w:r w:rsidR="00D27A96" w:rsidRPr="00A17436">
        <w:rPr>
          <w:rFonts w:cstheme="minorHAnsi"/>
        </w:rPr>
        <w:t>,</w:t>
      </w:r>
      <w:r w:rsidR="000F2FF8" w:rsidRPr="00A17436">
        <w:rPr>
          <w:rFonts w:cstheme="minorHAnsi"/>
        </w:rPr>
        <w:t xml:space="preserve"> </w:t>
      </w:r>
      <w:r w:rsidR="00C64814" w:rsidRPr="00A17436">
        <w:rPr>
          <w:rFonts w:cstheme="minorHAnsi"/>
        </w:rPr>
        <w:t xml:space="preserve">portando il FSN </w:t>
      </w:r>
      <w:r w:rsidR="00251822">
        <w:rPr>
          <w:rFonts w:cstheme="minorHAnsi"/>
        </w:rPr>
        <w:t>totale</w:t>
      </w:r>
      <w:r w:rsidR="00251822" w:rsidRPr="00A17436">
        <w:rPr>
          <w:rFonts w:cstheme="minorHAnsi"/>
        </w:rPr>
        <w:t xml:space="preserve"> </w:t>
      </w:r>
      <w:r w:rsidR="00C64814" w:rsidRPr="00A17436">
        <w:rPr>
          <w:rFonts w:cstheme="minorHAnsi"/>
        </w:rPr>
        <w:t>a € 143,1 miliardi</w:t>
      </w:r>
      <w:r w:rsidR="00C64814"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  <w:highlight w:val="yellow"/>
        </w:rPr>
        <w:t>tabella 1, figura 1</w:t>
      </w:r>
      <w:r>
        <w:rPr>
          <w:rFonts w:cstheme="minorHAnsi"/>
        </w:rPr>
        <w:t xml:space="preserve">). «In termini assoluti – commenta il Presidente – </w:t>
      </w:r>
      <w:r w:rsidR="00251822">
        <w:rPr>
          <w:rFonts w:cstheme="minorHAnsi"/>
        </w:rPr>
        <w:t>l’</w:t>
      </w:r>
      <w:r w:rsidR="00F36F4F">
        <w:rPr>
          <w:rFonts w:cstheme="minorHAnsi"/>
        </w:rPr>
        <w:t>aumento di risorse</w:t>
      </w:r>
      <w:r>
        <w:rPr>
          <w:rFonts w:cstheme="minorHAnsi"/>
        </w:rPr>
        <w:t xml:space="preserve"> per il triennio 2026-2028</w:t>
      </w:r>
      <w:r w:rsidR="00251822">
        <w:rPr>
          <w:rFonts w:cstheme="minorHAnsi"/>
        </w:rPr>
        <w:t xml:space="preserve"> risulta sostanzialmente uniforme</w:t>
      </w:r>
      <w:r>
        <w:rPr>
          <w:rFonts w:cstheme="minorHAnsi"/>
        </w:rPr>
        <w:t xml:space="preserve">, senza alcun segnale di </w:t>
      </w:r>
      <w:r w:rsidR="00F36F4F">
        <w:rPr>
          <w:rFonts w:cstheme="minorHAnsi"/>
        </w:rPr>
        <w:t xml:space="preserve">rilancio </w:t>
      </w:r>
      <w:r>
        <w:rPr>
          <w:rFonts w:cstheme="minorHAnsi"/>
        </w:rPr>
        <w:t xml:space="preserve">progressivo del FSN. </w:t>
      </w:r>
      <w:r w:rsidR="00251822">
        <w:rPr>
          <w:rFonts w:cstheme="minorHAnsi"/>
        </w:rPr>
        <w:t>L’auspicata</w:t>
      </w:r>
      <w:r w:rsidR="00B0144E">
        <w:rPr>
          <w:rFonts w:cstheme="minorHAnsi"/>
        </w:rPr>
        <w:t xml:space="preserve"> </w:t>
      </w:r>
      <w:r>
        <w:rPr>
          <w:rFonts w:cstheme="minorHAnsi"/>
        </w:rPr>
        <w:t>inversione di rotta</w:t>
      </w:r>
      <w:r w:rsidR="00B0144E">
        <w:rPr>
          <w:rFonts w:cstheme="minorHAnsi"/>
        </w:rPr>
        <w:t>, ancora una volta</w:t>
      </w:r>
      <w:r w:rsidR="00251822">
        <w:rPr>
          <w:rFonts w:cstheme="minorHAnsi"/>
        </w:rPr>
        <w:t xml:space="preserve">, </w:t>
      </w:r>
      <w:r w:rsidR="00B0144E">
        <w:rPr>
          <w:rFonts w:cstheme="minorHAnsi"/>
        </w:rPr>
        <w:t xml:space="preserve">è </w:t>
      </w:r>
      <w:r>
        <w:rPr>
          <w:rFonts w:cstheme="minorHAnsi"/>
        </w:rPr>
        <w:t xml:space="preserve">rimandata alla prossima </w:t>
      </w:r>
      <w:r w:rsidRPr="00AD476B">
        <w:rPr>
          <w:rFonts w:cstheme="minorHAnsi"/>
        </w:rPr>
        <w:t xml:space="preserve">Legge di Bilancio». </w:t>
      </w:r>
      <w:r w:rsidR="00D65178">
        <w:rPr>
          <w:rFonts w:cstheme="minorHAnsi"/>
        </w:rPr>
        <w:t>Dopo l’incremento del 2026, i</w:t>
      </w:r>
      <w:r w:rsidR="00B0144E">
        <w:rPr>
          <w:rFonts w:cstheme="minorHAnsi"/>
        </w:rPr>
        <w:t xml:space="preserve">nfatti, </w:t>
      </w:r>
      <w:r w:rsidR="00D65178">
        <w:rPr>
          <w:rFonts w:cstheme="minorHAnsi"/>
        </w:rPr>
        <w:t xml:space="preserve">il FSN in termini </w:t>
      </w:r>
      <w:r w:rsidR="00D65178">
        <w:rPr>
          <w:rFonts w:cstheme="minorHAnsi"/>
        </w:rPr>
        <w:lastRenderedPageBreak/>
        <w:t>assoluti si stabilizza</w:t>
      </w:r>
      <w:r w:rsidR="00AD476B" w:rsidRPr="00A17436">
        <w:rPr>
          <w:rFonts w:cstheme="minorHAnsi"/>
        </w:rPr>
        <w:t xml:space="preserve">: </w:t>
      </w:r>
      <w:r w:rsidR="00D65178">
        <w:rPr>
          <w:rFonts w:cstheme="minorHAnsi"/>
        </w:rPr>
        <w:t>cresce</w:t>
      </w:r>
      <w:r w:rsidR="00AD476B" w:rsidRPr="00A17436">
        <w:rPr>
          <w:rFonts w:cstheme="minorHAnsi"/>
        </w:rPr>
        <w:t xml:space="preserve"> di </w:t>
      </w:r>
      <w:r w:rsidR="00F96616">
        <w:rPr>
          <w:rFonts w:cstheme="minorHAnsi"/>
        </w:rPr>
        <w:t xml:space="preserve">soli </w:t>
      </w:r>
      <w:r w:rsidR="00AD476B" w:rsidRPr="00A17436">
        <w:rPr>
          <w:rFonts w:cstheme="minorHAnsi"/>
        </w:rPr>
        <w:t xml:space="preserve">€ 995 milioni (+0,7%) </w:t>
      </w:r>
      <w:r w:rsidR="00F96616" w:rsidRPr="00A17436">
        <w:rPr>
          <w:rFonts w:cstheme="minorHAnsi"/>
        </w:rPr>
        <w:t xml:space="preserve">nel 2027 </w:t>
      </w:r>
      <w:r w:rsidR="00AD476B" w:rsidRPr="00A17436">
        <w:rPr>
          <w:rFonts w:cstheme="minorHAnsi"/>
        </w:rPr>
        <w:t xml:space="preserve">e </w:t>
      </w:r>
      <w:r w:rsidR="00F96616" w:rsidRPr="00A17436">
        <w:rPr>
          <w:rFonts w:cstheme="minorHAnsi"/>
        </w:rPr>
        <w:t>di € 867 milioni (+0,6%)</w:t>
      </w:r>
      <w:r w:rsidR="00AD476B" w:rsidRPr="00A17436">
        <w:rPr>
          <w:rFonts w:cstheme="minorHAnsi"/>
        </w:rPr>
        <w:t xml:space="preserve"> </w:t>
      </w:r>
      <w:r w:rsidR="00F96616" w:rsidRPr="00A17436">
        <w:rPr>
          <w:rFonts w:cstheme="minorHAnsi"/>
        </w:rPr>
        <w:t>nel</w:t>
      </w:r>
      <w:r w:rsidR="00F96616" w:rsidRPr="00F96616">
        <w:rPr>
          <w:rFonts w:cstheme="minorHAnsi"/>
        </w:rPr>
        <w:t xml:space="preserve"> </w:t>
      </w:r>
      <w:r w:rsidR="00AD476B" w:rsidRPr="00A17436">
        <w:rPr>
          <w:rFonts w:cstheme="minorHAnsi"/>
        </w:rPr>
        <w:t xml:space="preserve">2028. </w:t>
      </w:r>
      <w:r w:rsidR="00D65178">
        <w:rPr>
          <w:rFonts w:cstheme="minorHAnsi"/>
        </w:rPr>
        <w:t>I</w:t>
      </w:r>
      <w:r w:rsidRPr="00A17436">
        <w:rPr>
          <w:rFonts w:cstheme="minorHAnsi"/>
        </w:rPr>
        <w:t>n</w:t>
      </w:r>
      <w:r w:rsidRPr="00AD476B">
        <w:rPr>
          <w:rFonts w:cstheme="minorHAnsi"/>
        </w:rPr>
        <w:t xml:space="preserve"> rapporto al PIL, il FSN </w:t>
      </w:r>
      <w:r w:rsidR="00D65178">
        <w:rPr>
          <w:rFonts w:cstheme="minorHAnsi"/>
        </w:rPr>
        <w:t>la quota destinata alla sanità passa</w:t>
      </w:r>
      <w:r w:rsidR="00B0144E">
        <w:rPr>
          <w:rFonts w:cstheme="minorHAnsi"/>
        </w:rPr>
        <w:t xml:space="preserve"> </w:t>
      </w:r>
      <w:r w:rsidRPr="00AD476B">
        <w:rPr>
          <w:rFonts w:cstheme="minorHAnsi"/>
        </w:rPr>
        <w:t xml:space="preserve">dal 6,04% del 2025 al 6,16% del 2026, </w:t>
      </w:r>
      <w:r w:rsidR="00D65178">
        <w:rPr>
          <w:rFonts w:cstheme="minorHAnsi"/>
        </w:rPr>
        <w:t>per poi ridursi</w:t>
      </w:r>
      <w:r w:rsidRPr="00AD476B">
        <w:rPr>
          <w:rFonts w:cstheme="minorHAnsi"/>
        </w:rPr>
        <w:t xml:space="preserve"> al 6,05% nel 2027 e al 5,93% nel 2028 (</w:t>
      </w:r>
      <w:r w:rsidRPr="00AD476B">
        <w:rPr>
          <w:rFonts w:cstheme="minorHAnsi"/>
          <w:highlight w:val="yellow"/>
        </w:rPr>
        <w:t>figura 2</w:t>
      </w:r>
      <w:r w:rsidRPr="00AD476B">
        <w:rPr>
          <w:rFonts w:cstheme="minorHAnsi"/>
        </w:rPr>
        <w:t>).</w:t>
      </w:r>
      <w:r w:rsidR="00B0144E" w:rsidRPr="00B0144E">
        <w:rPr>
          <w:rFonts w:cstheme="minorHAnsi"/>
        </w:rPr>
        <w:t xml:space="preserve"> </w:t>
      </w:r>
      <w:r w:rsidR="00B0144E">
        <w:rPr>
          <w:rFonts w:cstheme="minorHAnsi"/>
        </w:rPr>
        <w:t>«</w:t>
      </w:r>
      <w:r w:rsidR="00D65178">
        <w:rPr>
          <w:rFonts w:cstheme="minorHAnsi"/>
        </w:rPr>
        <w:t xml:space="preserve">In sintesi </w:t>
      </w:r>
      <w:r w:rsidR="00B0144E">
        <w:rPr>
          <w:rFonts w:cstheme="minorHAnsi"/>
        </w:rPr>
        <w:t>– spiega Cartabellotta –</w:t>
      </w:r>
      <w:r w:rsidR="00D35863">
        <w:rPr>
          <w:rFonts w:cstheme="minorHAnsi"/>
        </w:rPr>
        <w:t xml:space="preserve"> </w:t>
      </w:r>
      <w:r w:rsidR="00B0144E">
        <w:rPr>
          <w:rFonts w:cstheme="minorHAnsi"/>
        </w:rPr>
        <w:t xml:space="preserve">le cifre assolute per il 2026 </w:t>
      </w:r>
      <w:r w:rsidR="00D65178">
        <w:rPr>
          <w:rFonts w:cstheme="minorHAnsi"/>
        </w:rPr>
        <w:t>appaiono consistenti</w:t>
      </w:r>
      <w:r w:rsidR="00B0144E" w:rsidRPr="00B0144E">
        <w:rPr>
          <w:rFonts w:cstheme="minorHAnsi"/>
        </w:rPr>
        <w:t xml:space="preserve"> </w:t>
      </w:r>
      <w:r w:rsidR="00B0144E">
        <w:rPr>
          <w:rFonts w:cstheme="minorHAnsi"/>
        </w:rPr>
        <w:t xml:space="preserve">perché includono risorse già </w:t>
      </w:r>
      <w:r w:rsidR="00D65178">
        <w:rPr>
          <w:rFonts w:cstheme="minorHAnsi"/>
        </w:rPr>
        <w:t xml:space="preserve">stanziate </w:t>
      </w:r>
      <w:r w:rsidR="00B0144E">
        <w:rPr>
          <w:rFonts w:cstheme="minorHAnsi"/>
        </w:rPr>
        <w:t xml:space="preserve">dalle precedenti manovre, </w:t>
      </w:r>
      <w:r w:rsidR="00D65178">
        <w:rPr>
          <w:rFonts w:cstheme="minorHAnsi"/>
        </w:rPr>
        <w:t xml:space="preserve">ma </w:t>
      </w:r>
      <w:r w:rsidR="00B0144E">
        <w:rPr>
          <w:rFonts w:cstheme="minorHAnsi"/>
        </w:rPr>
        <w:t>la quota di ricchezza del Paese investita in sanità, dopo il lieve rialzo del 2026, torna a diminuire».</w:t>
      </w:r>
    </w:p>
    <w:p w14:paraId="000043D7" w14:textId="25AE22F5" w:rsidR="00D65178" w:rsidRDefault="003C6E53" w:rsidP="003C6E53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FINANZIAMENTO ASSEGNATO VS PREVISIONI DI SPESA. </w:t>
      </w:r>
      <w:r w:rsidR="00D65178">
        <w:rPr>
          <w:rFonts w:cstheme="minorHAnsi"/>
        </w:rPr>
        <w:t>Ri</w:t>
      </w:r>
      <w:r>
        <w:rPr>
          <w:rFonts w:cstheme="minorHAnsi"/>
        </w:rPr>
        <w:t>mane un netto divario tra l’entità del FSN e le previsioni di spesa sanitaria fissate dal Documento Programmatico di Finanza Pubblica:</w:t>
      </w:r>
      <w:r>
        <w:rPr>
          <w:rFonts w:eastAsia="Calibri" w:cstheme="minorHAnsi"/>
          <w:bCs/>
        </w:rPr>
        <w:t xml:space="preserve"> </w:t>
      </w:r>
      <w:r w:rsidR="00D65178">
        <w:rPr>
          <w:rFonts w:eastAsia="Calibri" w:cstheme="minorHAnsi"/>
          <w:bCs/>
        </w:rPr>
        <w:t xml:space="preserve">in rapporto al PIL, le proiezioni di spesa si attestano al </w:t>
      </w:r>
      <w:r>
        <w:rPr>
          <w:rFonts w:eastAsia="Calibri" w:cstheme="minorHAnsi"/>
          <w:bCs/>
        </w:rPr>
        <w:t xml:space="preserve">6,4% per gli anni 2025, 2027 e 2028 e </w:t>
      </w:r>
      <w:r w:rsidR="00D65178">
        <w:rPr>
          <w:rFonts w:eastAsia="Calibri" w:cstheme="minorHAnsi"/>
          <w:bCs/>
        </w:rPr>
        <w:t xml:space="preserve">al </w:t>
      </w:r>
      <w:r>
        <w:rPr>
          <w:rFonts w:eastAsia="Calibri" w:cstheme="minorHAnsi"/>
          <w:bCs/>
        </w:rPr>
        <w:t xml:space="preserve">6,5% per il 2026. In valori assoluti, il gap tra spesa prevista e risorse </w:t>
      </w:r>
      <w:r w:rsidR="00D65178">
        <w:rPr>
          <w:rFonts w:eastAsia="Calibri" w:cstheme="minorHAnsi"/>
          <w:bCs/>
        </w:rPr>
        <w:t>assegnate ammonta a</w:t>
      </w:r>
      <w:r>
        <w:rPr>
          <w:rFonts w:eastAsia="Calibri" w:cstheme="minorHAnsi"/>
          <w:bCs/>
        </w:rPr>
        <w:t xml:space="preserve"> € 6,8 miliardi </w:t>
      </w:r>
      <w:r w:rsidR="00D65178">
        <w:rPr>
          <w:rFonts w:eastAsia="Calibri" w:cstheme="minorHAnsi"/>
          <w:bCs/>
        </w:rPr>
        <w:t>nel</w:t>
      </w:r>
      <w:r>
        <w:rPr>
          <w:rFonts w:eastAsia="Calibri" w:cstheme="minorHAnsi"/>
          <w:bCs/>
        </w:rPr>
        <w:t xml:space="preserve"> 2026, € 7,6 miliardi nel 2027 e € 10,7 miliardi nel 2028 (</w:t>
      </w:r>
      <w:r>
        <w:rPr>
          <w:rFonts w:eastAsia="Calibri" w:cstheme="minorHAnsi"/>
          <w:bCs/>
          <w:highlight w:val="yellow"/>
        </w:rPr>
        <w:t>figura 3</w:t>
      </w:r>
      <w:r>
        <w:rPr>
          <w:rFonts w:eastAsia="Calibri" w:cstheme="minorHAnsi"/>
          <w:bCs/>
        </w:rPr>
        <w:t xml:space="preserve">). </w:t>
      </w:r>
      <w:r>
        <w:rPr>
          <w:rFonts w:cstheme="minorHAnsi"/>
        </w:rPr>
        <w:t xml:space="preserve">«Questo </w:t>
      </w:r>
      <w:r w:rsidR="00D35863">
        <w:rPr>
          <w:rFonts w:cstheme="minorHAnsi"/>
        </w:rPr>
        <w:t>gap</w:t>
      </w:r>
      <w:r w:rsidR="00D65178">
        <w:rPr>
          <w:rFonts w:cstheme="minorHAnsi"/>
        </w:rPr>
        <w:t xml:space="preserve"> </w:t>
      </w:r>
      <w:r>
        <w:rPr>
          <w:rFonts w:cstheme="minorHAnsi"/>
        </w:rPr>
        <w:t xml:space="preserve">– avverte Cartabellotta – </w:t>
      </w:r>
      <w:r w:rsidR="00D65178">
        <w:rPr>
          <w:rFonts w:cstheme="minorHAnsi"/>
        </w:rPr>
        <w:t xml:space="preserve">finirà </w:t>
      </w:r>
      <w:r w:rsidR="002A16D0">
        <w:rPr>
          <w:rFonts w:cstheme="minorHAnsi"/>
        </w:rPr>
        <w:t>in</w:t>
      </w:r>
      <w:r w:rsidR="00D65178">
        <w:rPr>
          <w:rFonts w:cstheme="minorHAnsi"/>
        </w:rPr>
        <w:t>evitabilmente per pesare</w:t>
      </w:r>
      <w:r>
        <w:rPr>
          <w:rFonts w:cstheme="minorHAnsi"/>
        </w:rPr>
        <w:t xml:space="preserve"> </w:t>
      </w:r>
      <w:r>
        <w:rPr>
          <w:rFonts w:eastAsia="Calibri" w:cstheme="minorHAnsi"/>
          <w:bCs/>
        </w:rPr>
        <w:t xml:space="preserve">sui bilanci delle Regioni che, come recentemente documentato dalla Corte dei Conti, </w:t>
      </w:r>
      <w:r w:rsidR="00D65178">
        <w:rPr>
          <w:rFonts w:eastAsia="Calibri" w:cstheme="minorHAnsi"/>
          <w:bCs/>
        </w:rPr>
        <w:t>presentano</w:t>
      </w:r>
      <w:r>
        <w:rPr>
          <w:rFonts w:eastAsia="Calibri" w:cstheme="minorHAnsi"/>
          <w:bCs/>
        </w:rPr>
        <w:t xml:space="preserve"> conti </w:t>
      </w:r>
      <w:r w:rsidR="00D65178">
        <w:rPr>
          <w:rFonts w:eastAsia="Calibri" w:cstheme="minorHAnsi"/>
          <w:bCs/>
        </w:rPr>
        <w:t xml:space="preserve">sempre più </w:t>
      </w:r>
      <w:r>
        <w:rPr>
          <w:rFonts w:eastAsia="Calibri" w:cstheme="minorHAnsi"/>
          <w:bCs/>
        </w:rPr>
        <w:t xml:space="preserve">in rosso. Per evitare </w:t>
      </w:r>
      <w:r>
        <w:rPr>
          <w:rFonts w:cstheme="minorHAnsi"/>
        </w:rPr>
        <w:t>il Piano di Rientro,</w:t>
      </w:r>
      <w:r>
        <w:rPr>
          <w:rFonts w:eastAsia="Calibri" w:cstheme="minorHAnsi"/>
          <w:bCs/>
        </w:rPr>
        <w:t xml:space="preserve"> le Regioni saranno costrette a scelte dolorose che ricadranno sui cittadini: </w:t>
      </w:r>
      <w:r>
        <w:rPr>
          <w:rFonts w:cstheme="minorHAnsi"/>
        </w:rPr>
        <w:t xml:space="preserve">ridurre i servizi o aumentare le tasse». </w:t>
      </w:r>
      <w:r w:rsidR="00F96616" w:rsidRPr="004B4B2F">
        <w:rPr>
          <w:rFonts w:cstheme="minorHAnsi"/>
        </w:rPr>
        <w:t xml:space="preserve">Peraltro, </w:t>
      </w:r>
      <w:r w:rsidRPr="004B4B2F">
        <w:rPr>
          <w:rFonts w:cstheme="minorHAnsi"/>
        </w:rPr>
        <w:t xml:space="preserve">le risorse assegnate dalla </w:t>
      </w:r>
      <w:r w:rsidRPr="000E0391">
        <w:rPr>
          <w:rFonts w:cstheme="minorHAnsi"/>
        </w:rPr>
        <w:t>L</w:t>
      </w:r>
      <w:r w:rsidRPr="000E0391">
        <w:t>egge di Bilancio 2025 risultano già interamente impegnate</w:t>
      </w:r>
      <w:r w:rsidR="009168AE" w:rsidRPr="000E0391">
        <w:t xml:space="preserve"> per il rinnovo dei contratti 2025-2027 del personale sanitario</w:t>
      </w:r>
      <w:r w:rsidRPr="000E0391">
        <w:t>.</w:t>
      </w:r>
      <w:r w:rsidRPr="000E0391">
        <w:rPr>
          <w:rFonts w:cstheme="minorHAnsi"/>
        </w:rPr>
        <w:t xml:space="preserve"> «In altre parole – chiosa Cartabellotta – considerato che i fondi della Manovra 2026 </w:t>
      </w:r>
      <w:r w:rsidR="00A47365" w:rsidRPr="000E0391">
        <w:rPr>
          <w:rFonts w:cstheme="minorHAnsi"/>
        </w:rPr>
        <w:t xml:space="preserve">sono destinati a finanziare </w:t>
      </w:r>
      <w:r w:rsidRPr="000E0391">
        <w:rPr>
          <w:rFonts w:cstheme="minorHAnsi"/>
        </w:rPr>
        <w:t>nuove misure</w:t>
      </w:r>
      <w:r w:rsidR="00D65178" w:rsidRPr="000E0391">
        <w:rPr>
          <w:rFonts w:cstheme="minorHAnsi"/>
        </w:rPr>
        <w:t>,</w:t>
      </w:r>
      <w:r w:rsidR="00646C2F" w:rsidRPr="000E0391">
        <w:rPr>
          <w:rFonts w:cstheme="minorHAnsi"/>
        </w:rPr>
        <w:t xml:space="preserve"> </w:t>
      </w:r>
      <w:r w:rsidR="00AB6850" w:rsidRPr="000E0391">
        <w:rPr>
          <w:rFonts w:cstheme="minorHAnsi"/>
        </w:rPr>
        <w:t xml:space="preserve">le Regioni, già in affanno, dovranno gestire con risorse proprie </w:t>
      </w:r>
      <w:r w:rsidR="00AB6850" w:rsidRPr="000E0391">
        <w:t xml:space="preserve">il divario tra fabbisogni sanitari e </w:t>
      </w:r>
      <w:r w:rsidR="00646C2F" w:rsidRPr="000E0391">
        <w:t xml:space="preserve">risorse </w:t>
      </w:r>
      <w:r w:rsidR="00AB6850" w:rsidRPr="000E0391">
        <w:t>disponibili</w:t>
      </w:r>
      <w:r w:rsidR="00646C2F" w:rsidRPr="000E0391">
        <w:t xml:space="preserve">, con una </w:t>
      </w:r>
      <w:r w:rsidRPr="000E0391">
        <w:rPr>
          <w:rFonts w:cstheme="minorHAnsi"/>
        </w:rPr>
        <w:t xml:space="preserve">coperta </w:t>
      </w:r>
      <w:r w:rsidR="00646C2F" w:rsidRPr="000E0391">
        <w:rPr>
          <w:rFonts w:cstheme="minorHAnsi"/>
        </w:rPr>
        <w:t xml:space="preserve">che ogni anno </w:t>
      </w:r>
      <w:r w:rsidRPr="000E0391">
        <w:rPr>
          <w:rFonts w:cstheme="minorHAnsi"/>
        </w:rPr>
        <w:t xml:space="preserve">si </w:t>
      </w:r>
      <w:r w:rsidR="00646C2F" w:rsidRPr="000E0391">
        <w:rPr>
          <w:rFonts w:cstheme="minorHAnsi"/>
        </w:rPr>
        <w:t>accorcia sempre di più</w:t>
      </w:r>
      <w:r w:rsidRPr="000E0391">
        <w:rPr>
          <w:rFonts w:cstheme="minorHAnsi"/>
        </w:rPr>
        <w:t>».</w:t>
      </w:r>
    </w:p>
    <w:p w14:paraId="30066BC2" w14:textId="0071B104" w:rsidR="00F22E70" w:rsidRDefault="003C6E53" w:rsidP="003C6E53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MISURE PREVISTE. </w:t>
      </w:r>
      <w:r w:rsidR="00FA28CC">
        <w:rPr>
          <w:rFonts w:cstheme="minorHAnsi"/>
          <w:bCs/>
        </w:rPr>
        <w:t>L’art. 63</w:t>
      </w:r>
      <w:r>
        <w:rPr>
          <w:rFonts w:cstheme="minorHAnsi"/>
          <w:bCs/>
        </w:rPr>
        <w:t xml:space="preserve"> della Manovra, dedicato al “Rifinanziamento del Servizio Sanitario Nazionale”, individua </w:t>
      </w:r>
      <w:r w:rsidR="00F96616">
        <w:rPr>
          <w:rFonts w:cstheme="minorHAnsi"/>
          <w:bCs/>
        </w:rPr>
        <w:t>le</w:t>
      </w:r>
      <w:r w:rsidR="00F6105F">
        <w:rPr>
          <w:rFonts w:cstheme="minorHAnsi"/>
          <w:bCs/>
        </w:rPr>
        <w:t xml:space="preserve"> </w:t>
      </w:r>
      <w:r>
        <w:rPr>
          <w:rFonts w:cstheme="minorHAnsi"/>
          <w:bCs/>
        </w:rPr>
        <w:t>misure da finanziare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  <w:highlight w:val="yellow"/>
        </w:rPr>
        <w:t>tabella 2</w:t>
      </w:r>
      <w:r>
        <w:rPr>
          <w:rFonts w:cstheme="minorHAnsi"/>
        </w:rPr>
        <w:t>). «Rispetto ai reali bisogni del SSN – commenta Cartabellotta –</w:t>
      </w:r>
      <w:r w:rsidR="00F6105F">
        <w:rPr>
          <w:rFonts w:cstheme="minorHAnsi"/>
        </w:rPr>
        <w:t xml:space="preserve"> </w:t>
      </w:r>
      <w:r w:rsidR="00F22E70">
        <w:rPr>
          <w:rFonts w:cstheme="minorHAnsi"/>
        </w:rPr>
        <w:t xml:space="preserve">appare </w:t>
      </w:r>
      <w:r w:rsidR="00F6105F">
        <w:rPr>
          <w:rFonts w:cstheme="minorHAnsi"/>
        </w:rPr>
        <w:t xml:space="preserve">evidente che </w:t>
      </w:r>
      <w:r>
        <w:rPr>
          <w:rFonts w:cstheme="minorHAnsi"/>
        </w:rPr>
        <w:t xml:space="preserve">i fondi vengono distribuiti tra una </w:t>
      </w:r>
      <w:r w:rsidR="00F96616">
        <w:rPr>
          <w:rFonts w:cstheme="minorHAnsi"/>
        </w:rPr>
        <w:t>molteplicità</w:t>
      </w:r>
      <w:r>
        <w:rPr>
          <w:rFonts w:cstheme="minorHAnsi"/>
        </w:rPr>
        <w:t xml:space="preserve"> di destinatari, ma con importi così limitati da rischiare di non produrre </w:t>
      </w:r>
      <w:r w:rsidR="00F22E70">
        <w:rPr>
          <w:rFonts w:cstheme="minorHAnsi"/>
        </w:rPr>
        <w:t>effetti concreti</w:t>
      </w:r>
      <w:r w:rsidR="00F96616">
        <w:rPr>
          <w:rFonts w:cstheme="minorHAnsi"/>
        </w:rPr>
        <w:t>,</w:t>
      </w:r>
      <w:r>
        <w:rPr>
          <w:rFonts w:cstheme="minorHAnsi"/>
        </w:rPr>
        <w:t xml:space="preserve"> né benefici </w:t>
      </w:r>
      <w:r w:rsidR="00F22E70">
        <w:rPr>
          <w:rFonts w:cstheme="minorHAnsi"/>
        </w:rPr>
        <w:t xml:space="preserve">tangibili </w:t>
      </w:r>
      <w:r>
        <w:rPr>
          <w:rFonts w:cstheme="minorHAnsi"/>
        </w:rPr>
        <w:t>per cittadini e pazienti».</w:t>
      </w:r>
    </w:p>
    <w:p w14:paraId="16EBBEE7" w14:textId="5AD2C420" w:rsidR="003C6E53" w:rsidRDefault="003C6E53" w:rsidP="003C6E53">
      <w:pPr>
        <w:jc w:val="both"/>
      </w:pPr>
      <w:r>
        <w:rPr>
          <w:b/>
          <w:bCs/>
        </w:rPr>
        <w:t xml:space="preserve">PERSONALE SANITARIO. </w:t>
      </w:r>
      <w:r>
        <w:t xml:space="preserve">La Manovra prevede un </w:t>
      </w:r>
      <w:r>
        <w:rPr>
          <w:b/>
          <w:bCs/>
        </w:rPr>
        <w:t>piano straordinario di assunzioni</w:t>
      </w:r>
      <w:r>
        <w:t xml:space="preserve"> a partire dal 2026, autorizzando – in deroga al tetto di spesa – € 450 milioni per assumere circa 1.000 medici dirigenti e oltre 6.000 professionisti sanitari, in particolare infermieri. </w:t>
      </w:r>
      <w:r w:rsidR="00F22E70">
        <w:t>Nel</w:t>
      </w:r>
      <w:r w:rsidR="00B07419" w:rsidRPr="00A17436">
        <w:t xml:space="preserve"> triennio 2026-2028 </w:t>
      </w:r>
      <w:r w:rsidR="00F22E70">
        <w:t>l’investimento complessivo ammonta a</w:t>
      </w:r>
      <w:r w:rsidR="00B07419" w:rsidRPr="00A17436">
        <w:t xml:space="preserve"> € 1.350 milioni, di cui € 875 milioni </w:t>
      </w:r>
      <w:r w:rsidR="00F22E70">
        <w:t>previsti</w:t>
      </w:r>
      <w:r w:rsidR="00F22E70" w:rsidRPr="00A17436">
        <w:t xml:space="preserve"> </w:t>
      </w:r>
      <w:r w:rsidR="00B07419" w:rsidRPr="00A17436">
        <w:t xml:space="preserve">dalla Manovra 2026 e € 475 milioni </w:t>
      </w:r>
      <w:r w:rsidR="00D27A96" w:rsidRPr="00A17436">
        <w:t xml:space="preserve">già stanziati </w:t>
      </w:r>
      <w:r w:rsidR="00B07419" w:rsidRPr="00A17436">
        <w:t>dalla precedente.</w:t>
      </w:r>
      <w:r w:rsidR="00B07419">
        <w:t xml:space="preserve"> </w:t>
      </w:r>
      <w:r>
        <w:rPr>
          <w:rFonts w:cstheme="minorHAnsi"/>
        </w:rPr>
        <w:t>«Pur riconoscendo la volontà di rafforzare gli organici</w:t>
      </w:r>
      <w:r w:rsidR="00F22E70" w:rsidRPr="00F22E70">
        <w:rPr>
          <w:rFonts w:cstheme="minorHAnsi"/>
        </w:rPr>
        <w:t xml:space="preserve"> </w:t>
      </w:r>
      <w:r w:rsidR="00F22E70">
        <w:rPr>
          <w:rFonts w:cstheme="minorHAnsi"/>
        </w:rPr>
        <w:t xml:space="preserve">– commenta Cartabellotta – </w:t>
      </w:r>
      <w:r>
        <w:rPr>
          <w:rFonts w:cstheme="minorHAnsi"/>
        </w:rPr>
        <w:t xml:space="preserve">il concetto di “piano assunzioni” appare contraddittorio finché resta in vigore il tetto di spesa per il personale sanitario. A ciò si aggiunge la scarsa attrattività di alcune specialità mediche e, soprattutto, della professione infermieristica. </w:t>
      </w:r>
      <w:r w:rsidR="00F22E70">
        <w:rPr>
          <w:rFonts w:cstheme="minorHAnsi"/>
        </w:rPr>
        <w:t>N</w:t>
      </w:r>
      <w:r>
        <w:rPr>
          <w:rFonts w:cstheme="minorHAnsi"/>
        </w:rPr>
        <w:t>el breve periodo</w:t>
      </w:r>
      <w:r w:rsidR="00F22E70">
        <w:rPr>
          <w:rFonts w:cstheme="minorHAnsi"/>
        </w:rPr>
        <w:t>,</w:t>
      </w:r>
      <w:r>
        <w:rPr>
          <w:rFonts w:cstheme="minorHAnsi"/>
        </w:rPr>
        <w:t xml:space="preserve"> l’unica ipotesi realistica per colmare la carenza di infermieri è un piano straordinario di reclutamento dall’estero</w:t>
      </w:r>
      <w:r w:rsidR="00F22E70">
        <w:rPr>
          <w:rFonts w:cstheme="minorHAnsi"/>
        </w:rPr>
        <w:t xml:space="preserve">: in Italia, infatti, la </w:t>
      </w:r>
      <w:r w:rsidR="00F22E70" w:rsidRPr="00F22E70">
        <w:rPr>
          <w:rFonts w:cstheme="minorHAnsi"/>
        </w:rPr>
        <w:t>riduzione del numero di laureati e le numerose cancellazioni dagli albi testimoniano la perdita di attrattività di una professione essenziale ma oggi poco valorizzata</w:t>
      </w:r>
      <w:r w:rsidR="00F22E70">
        <w:rPr>
          <w:rFonts w:cstheme="minorHAnsi"/>
        </w:rPr>
        <w:t xml:space="preserve"> e determinano scarsa disponibilità di figure professionali fondamentali</w:t>
      </w:r>
      <w:r>
        <w:rPr>
          <w:rFonts w:cstheme="minorHAnsi"/>
        </w:rPr>
        <w:t>»</w:t>
      </w:r>
      <w:r>
        <w:t>.</w:t>
      </w:r>
    </w:p>
    <w:p w14:paraId="6D075777" w14:textId="497F48FC" w:rsidR="003C6E53" w:rsidRDefault="003C6E53" w:rsidP="003C6E53">
      <w:pPr>
        <w:jc w:val="both"/>
        <w:rPr>
          <w:b/>
          <w:bCs/>
        </w:rPr>
      </w:pPr>
      <w:r>
        <w:t xml:space="preserve">Sul fronte delle retribuzioni, la Manovra </w:t>
      </w:r>
      <w:r w:rsidR="00F22E70">
        <w:t xml:space="preserve">introduce </w:t>
      </w:r>
      <w:r>
        <w:t xml:space="preserve">un </w:t>
      </w:r>
      <w:r w:rsidR="00F22E70">
        <w:t xml:space="preserve">incremento </w:t>
      </w:r>
      <w:r>
        <w:t>dell’</w:t>
      </w:r>
      <w:r>
        <w:rPr>
          <w:b/>
          <w:bCs/>
        </w:rPr>
        <w:t>indennità di specificità</w:t>
      </w:r>
      <w:r w:rsidR="00F22E70">
        <w:rPr>
          <w:bCs/>
        </w:rPr>
        <w:t xml:space="preserve"> </w:t>
      </w:r>
      <w:r w:rsidR="00F22E70" w:rsidRPr="009168AE">
        <w:rPr>
          <w:bCs/>
        </w:rPr>
        <w:t>– un</w:t>
      </w:r>
      <w:r w:rsidR="00F22E70">
        <w:rPr>
          <w:bCs/>
        </w:rPr>
        <w:t xml:space="preserve"> </w:t>
      </w:r>
      <w:r>
        <w:rPr>
          <w:bCs/>
        </w:rPr>
        <w:t>riconoscimento economico aggiuntivo rispetto allo stipendio base</w:t>
      </w:r>
      <w:r w:rsidR="00F22E70">
        <w:rPr>
          <w:bCs/>
        </w:rPr>
        <w:t xml:space="preserve"> </w:t>
      </w:r>
      <w:r w:rsidR="00F22E70" w:rsidRPr="009B390F">
        <w:rPr>
          <w:bCs/>
        </w:rPr>
        <w:t xml:space="preserve">– </w:t>
      </w:r>
      <w:r>
        <w:t xml:space="preserve">pari a € 280 milioni annui a partire dal 2026: € 85 milioni per i medici, € 195 milioni per gli infermieri,  € 8 milioni per i dirigenti sanitari non medici e € 58 milioni per altre professioni sanitarie (riabilitazione, prevenzione, tecnico-sanitarie, ostetrica, assistente sociale) e gli operatori socio-sanitari nelle attività finalizzate alla tutela del malato e alla promozione della salute. </w:t>
      </w:r>
      <w:r w:rsidR="004D270A">
        <w:t>L’</w:t>
      </w:r>
      <w:r>
        <w:t xml:space="preserve">aumento </w:t>
      </w:r>
      <w:r w:rsidR="004D270A">
        <w:t xml:space="preserve">stimato </w:t>
      </w:r>
      <w:r>
        <w:t>della retribu</w:t>
      </w:r>
      <w:r w:rsidRPr="009168AE">
        <w:t xml:space="preserve">zione lorda annua </w:t>
      </w:r>
      <w:r w:rsidR="004D270A" w:rsidRPr="009168AE">
        <w:t xml:space="preserve">è </w:t>
      </w:r>
      <w:r w:rsidRPr="009168AE">
        <w:t xml:space="preserve">di € 3.000 per i medici, € 1.630 per gli infermieri e € 490 per i dirigenti sanitari non medici. </w:t>
      </w:r>
      <w:r>
        <w:rPr>
          <w:rFonts w:cstheme="minorHAnsi"/>
        </w:rPr>
        <w:t>«</w:t>
      </w:r>
      <w:r>
        <w:t>Se l’obiettivo è restituire attrattività alla carriera nel SSN</w:t>
      </w:r>
      <w:r>
        <w:rPr>
          <w:rFonts w:cstheme="minorHAnsi"/>
        </w:rPr>
        <w:t xml:space="preserve"> per arginare le fughe e attirare i giovani </w:t>
      </w:r>
      <w:r w:rsidR="004D270A">
        <w:rPr>
          <w:rFonts w:cstheme="minorHAnsi"/>
        </w:rPr>
        <w:t xml:space="preserve">verso la professione infermieristica </w:t>
      </w:r>
      <w:r>
        <w:rPr>
          <w:rFonts w:cstheme="minorHAnsi"/>
        </w:rPr>
        <w:t xml:space="preserve">– osserva Cartabellotta – </w:t>
      </w:r>
      <w:r>
        <w:t xml:space="preserve">si tratta </w:t>
      </w:r>
      <w:r w:rsidR="004D270A">
        <w:t xml:space="preserve">solo </w:t>
      </w:r>
      <w:r>
        <w:t xml:space="preserve">di briciole. Importi </w:t>
      </w:r>
      <w:r w:rsidR="00F22E70">
        <w:t xml:space="preserve">di tale entità non saranno sufficienti </w:t>
      </w:r>
      <w:r>
        <w:t xml:space="preserve">ad arrestare l’emorragia di medici dal pubblico né a rendere </w:t>
      </w:r>
      <w:r w:rsidR="00F22E70">
        <w:t xml:space="preserve">più </w:t>
      </w:r>
      <w:r>
        <w:t>appetibile la professione infermieristica per le nuove generazioni</w:t>
      </w:r>
      <w:r>
        <w:rPr>
          <w:rFonts w:cstheme="minorHAnsi"/>
        </w:rPr>
        <w:t xml:space="preserve">». </w:t>
      </w:r>
    </w:p>
    <w:p w14:paraId="3991FCA2" w14:textId="38EB94A6" w:rsidR="00F22E70" w:rsidRDefault="003C6E53" w:rsidP="003C6E53">
      <w:pPr>
        <w:jc w:val="both"/>
        <w:rPr>
          <w:rFonts w:cstheme="minorHAnsi"/>
        </w:rPr>
      </w:pPr>
      <w:r>
        <w:rPr>
          <w:rFonts w:cstheme="minorHAnsi"/>
        </w:rPr>
        <w:t xml:space="preserve">Nel 2026 le Regioni potranno inoltre </w:t>
      </w:r>
      <w:r w:rsidR="004D270A">
        <w:rPr>
          <w:rFonts w:cstheme="minorHAnsi"/>
        </w:rPr>
        <w:t>aumentare</w:t>
      </w:r>
      <w:r>
        <w:rPr>
          <w:rFonts w:cstheme="minorHAnsi"/>
        </w:rPr>
        <w:t xml:space="preserve"> di € 143,5 milioni la spesa per le </w:t>
      </w:r>
      <w:r>
        <w:rPr>
          <w:rFonts w:cstheme="minorHAnsi"/>
          <w:b/>
          <w:bCs/>
        </w:rPr>
        <w:t>prestazioni aggiuntive</w:t>
      </w:r>
      <w:r>
        <w:rPr>
          <w:rFonts w:cstheme="minorHAnsi"/>
        </w:rPr>
        <w:t xml:space="preserve">: € 101,9 milioni </w:t>
      </w:r>
      <w:r w:rsidR="00F22E70">
        <w:rPr>
          <w:rFonts w:cstheme="minorHAnsi"/>
        </w:rPr>
        <w:t>destinati a</w:t>
      </w:r>
      <w:r>
        <w:rPr>
          <w:rFonts w:cstheme="minorHAnsi"/>
        </w:rPr>
        <w:t xml:space="preserve">i medici e € 41,6 </w:t>
      </w:r>
      <w:r w:rsidR="00F22E70">
        <w:rPr>
          <w:rFonts w:cstheme="minorHAnsi"/>
        </w:rPr>
        <w:t>a</w:t>
      </w:r>
      <w:r>
        <w:rPr>
          <w:rFonts w:cstheme="minorHAnsi"/>
        </w:rPr>
        <w:t xml:space="preserve">l </w:t>
      </w:r>
      <w:r w:rsidRPr="00A17436">
        <w:rPr>
          <w:rFonts w:cstheme="minorHAnsi"/>
        </w:rPr>
        <w:t xml:space="preserve">personale sanitario del comparto. </w:t>
      </w:r>
      <w:r w:rsidR="00A401BE">
        <w:rPr>
          <w:rFonts w:cstheme="minorHAnsi"/>
        </w:rPr>
        <w:t xml:space="preserve">Si tratta però di fondi già </w:t>
      </w:r>
      <w:r w:rsidR="009168AE">
        <w:rPr>
          <w:rFonts w:cstheme="minorHAnsi"/>
        </w:rPr>
        <w:lastRenderedPageBreak/>
        <w:t xml:space="preserve">assegnati </w:t>
      </w:r>
      <w:r w:rsidR="0050663F" w:rsidRPr="00A17436">
        <w:rPr>
          <w:rFonts w:cstheme="minorHAnsi"/>
        </w:rPr>
        <w:t>dalla precedente Legge di Bilancio</w:t>
      </w:r>
      <w:r w:rsidRPr="00A17436">
        <w:rPr>
          <w:rFonts w:cstheme="minorHAnsi"/>
        </w:rPr>
        <w:t>. «</w:t>
      </w:r>
      <w:r w:rsidRPr="00A17436">
        <w:t xml:space="preserve">Pur </w:t>
      </w:r>
      <w:r w:rsidR="00A401BE">
        <w:t>comprendendo</w:t>
      </w:r>
      <w:r w:rsidR="00A401BE" w:rsidRPr="00A17436">
        <w:rPr>
          <w:rFonts w:cstheme="minorHAnsi"/>
        </w:rPr>
        <w:t xml:space="preserve"> </w:t>
      </w:r>
      <w:r w:rsidRPr="00A17436">
        <w:t xml:space="preserve">la necessità di garantire </w:t>
      </w:r>
      <w:r w:rsidR="00A401BE">
        <w:t xml:space="preserve">un maggiore impegno orario </w:t>
      </w:r>
      <w:r w:rsidR="00A401BE" w:rsidRPr="00A17436">
        <w:rPr>
          <w:rFonts w:cstheme="minorHAnsi"/>
        </w:rPr>
        <w:t>– aggiunge Cartabellotta –</w:t>
      </w:r>
      <w:r w:rsidRPr="00A17436">
        <w:t xml:space="preserve"> la logica del “più lavori, più ti pago”</w:t>
      </w:r>
      <w:r w:rsidR="00A401BE">
        <w:t xml:space="preserve">, nonostante </w:t>
      </w:r>
      <w:r w:rsidR="00A401BE">
        <w:rPr>
          <w:rFonts w:cstheme="minorHAnsi"/>
        </w:rPr>
        <w:t>l</w:t>
      </w:r>
      <w:r w:rsidR="00A401BE" w:rsidRPr="00A17436">
        <w:rPr>
          <w:rFonts w:cstheme="minorHAnsi"/>
        </w:rPr>
        <w:t>’imposta agevolata del 15%</w:t>
      </w:r>
      <w:r w:rsidR="00A401BE">
        <w:rPr>
          <w:rFonts w:cstheme="minorHAnsi"/>
        </w:rPr>
        <w:t xml:space="preserve">, </w:t>
      </w:r>
      <w:r w:rsidRPr="00A17436">
        <w:t>appare</w:t>
      </w:r>
      <w:r>
        <w:t xml:space="preserve"> difficilmente </w:t>
      </w:r>
      <w:r w:rsidR="00A401BE">
        <w:t>sostenibile per</w:t>
      </w:r>
      <w:r>
        <w:t xml:space="preserve"> un personale già </w:t>
      </w:r>
      <w:r w:rsidR="00A401BE">
        <w:t>stremato da</w:t>
      </w:r>
      <w:r>
        <w:t xml:space="preserve"> turni massacranti e </w:t>
      </w:r>
      <w:r w:rsidR="00A401BE">
        <w:t xml:space="preserve">da </w:t>
      </w:r>
      <w:r>
        <w:t xml:space="preserve">livelli di </w:t>
      </w:r>
      <w:proofErr w:type="spellStart"/>
      <w:r>
        <w:t>burnout</w:t>
      </w:r>
      <w:proofErr w:type="spellEnd"/>
      <w:r>
        <w:t xml:space="preserve"> </w:t>
      </w:r>
      <w:r w:rsidR="00A401BE">
        <w:t>sempre più elevati</w:t>
      </w:r>
      <w:r>
        <w:rPr>
          <w:rFonts w:cstheme="minorHAnsi"/>
        </w:rPr>
        <w:t>».</w:t>
      </w:r>
    </w:p>
    <w:p w14:paraId="4E14FB4D" w14:textId="174D5266" w:rsidR="00A401BE" w:rsidRPr="000F60B0" w:rsidRDefault="000F60B0" w:rsidP="0088010B">
      <w:pPr>
        <w:jc w:val="both"/>
        <w:rPr>
          <w:b/>
          <w:bCs/>
        </w:rPr>
      </w:pPr>
      <w:r w:rsidRPr="001A1F0D">
        <w:rPr>
          <w:b/>
          <w:bCs/>
        </w:rPr>
        <w:t xml:space="preserve">POTENZIAMENTO </w:t>
      </w:r>
      <w:r w:rsidR="00FE7C14">
        <w:rPr>
          <w:b/>
          <w:bCs/>
        </w:rPr>
        <w:t xml:space="preserve">OFFERTA </w:t>
      </w:r>
      <w:r w:rsidRPr="001A1F0D">
        <w:rPr>
          <w:b/>
          <w:bCs/>
        </w:rPr>
        <w:t>DI SERVIZI</w:t>
      </w:r>
      <w:r>
        <w:rPr>
          <w:b/>
          <w:bCs/>
        </w:rPr>
        <w:t xml:space="preserve">. </w:t>
      </w:r>
      <w:r>
        <w:t>A</w:t>
      </w:r>
      <w:r w:rsidR="004D270A">
        <w:t xml:space="preserve"> </w:t>
      </w:r>
      <w:r w:rsidR="00A401BE">
        <w:t xml:space="preserve">partire </w:t>
      </w:r>
      <w:r w:rsidR="004D270A">
        <w:t>dal 2026</w:t>
      </w:r>
      <w:r w:rsidR="00A401BE">
        <w:t>, la Manovra d</w:t>
      </w:r>
      <w:r w:rsidR="004D270A">
        <w:t xml:space="preserve">estina </w:t>
      </w:r>
      <w:r>
        <w:t xml:space="preserve">€ </w:t>
      </w:r>
      <w:r w:rsidR="00B2522A">
        <w:t xml:space="preserve">238 </w:t>
      </w:r>
      <w:r>
        <w:t>milioni</w:t>
      </w:r>
      <w:r w:rsidR="00A401BE" w:rsidRPr="00A401BE">
        <w:t xml:space="preserve"> </w:t>
      </w:r>
      <w:r w:rsidR="00A401BE">
        <w:t xml:space="preserve">a interventi di </w:t>
      </w:r>
      <w:r w:rsidR="00A401BE" w:rsidRPr="006172B7">
        <w:rPr>
          <w:b/>
          <w:bCs/>
        </w:rPr>
        <w:t>prevenzione</w:t>
      </w:r>
      <w:r w:rsidR="00A401BE">
        <w:t xml:space="preserve"> articolati in </w:t>
      </w:r>
      <w:r w:rsidR="00B2522A">
        <w:t>quattro</w:t>
      </w:r>
      <w:r>
        <w:t xml:space="preserve"> macro-obiettivi: </w:t>
      </w:r>
      <w:r w:rsidR="00682018">
        <w:t>esten</w:t>
      </w:r>
      <w:r w:rsidR="003C6E53">
        <w:t xml:space="preserve">dere </w:t>
      </w:r>
      <w:r w:rsidR="004D270A">
        <w:t>lo</w:t>
      </w:r>
      <w:r>
        <w:t xml:space="preserve"> screening </w:t>
      </w:r>
      <w:r w:rsidR="00A401BE">
        <w:t xml:space="preserve">per il </w:t>
      </w:r>
      <w:r>
        <w:t xml:space="preserve">tumore della mammella </w:t>
      </w:r>
      <w:r w:rsidR="00682018">
        <w:t>alle fasce</w:t>
      </w:r>
      <w:r>
        <w:t xml:space="preserve"> di età </w:t>
      </w:r>
      <w:r w:rsidRPr="00B00E59">
        <w:t>45</w:t>
      </w:r>
      <w:r>
        <w:t>-</w:t>
      </w:r>
      <w:r w:rsidRPr="00B00E59">
        <w:t xml:space="preserve">49 anni e </w:t>
      </w:r>
      <w:r>
        <w:t>70-74 anni</w:t>
      </w:r>
      <w:r w:rsidR="00A401BE">
        <w:t>; ampliare lo screening del</w:t>
      </w:r>
      <w:r>
        <w:t xml:space="preserve"> tumore del colon-retto alla fascia 70-74 anni; </w:t>
      </w:r>
      <w:r w:rsidR="00682018">
        <w:t>prose</w:t>
      </w:r>
      <w:r w:rsidR="003C6E53">
        <w:t xml:space="preserve">guire </w:t>
      </w:r>
      <w:r>
        <w:t xml:space="preserve">il </w:t>
      </w:r>
      <w:r w:rsidRPr="00B00E59">
        <w:t>programma di prevenzione del tumore polmonare nell’ambito della rete italiana screening polmonare</w:t>
      </w:r>
      <w:r>
        <w:t xml:space="preserve">; </w:t>
      </w:r>
      <w:r w:rsidRPr="00B00E59">
        <w:t>concor</w:t>
      </w:r>
      <w:r>
        <w:t xml:space="preserve">rere </w:t>
      </w:r>
      <w:r w:rsidRPr="00B00E59">
        <w:t>al</w:t>
      </w:r>
      <w:r w:rsidR="003C6E53">
        <w:t xml:space="preserve"> r</w:t>
      </w:r>
      <w:r w:rsidRPr="00B00E59">
        <w:t xml:space="preserve">imborso alle </w:t>
      </w:r>
      <w:r>
        <w:t>R</w:t>
      </w:r>
      <w:r w:rsidRPr="00B00E59">
        <w:t>egioni per l'acquisto d</w:t>
      </w:r>
      <w:r w:rsidR="00682018">
        <w:t>e</w:t>
      </w:r>
      <w:r w:rsidRPr="00B00E59">
        <w:t xml:space="preserve">i vaccini </w:t>
      </w:r>
      <w:r w:rsidRPr="00A17436">
        <w:t xml:space="preserve">previsti nel calendario </w:t>
      </w:r>
      <w:r w:rsidR="00A17436">
        <w:t>vaccinale</w:t>
      </w:r>
      <w:r w:rsidR="008247D3" w:rsidRPr="00A17436">
        <w:t xml:space="preserve">. </w:t>
      </w:r>
      <w:r w:rsidR="00B2522A" w:rsidRPr="00A17436">
        <w:t>Per</w:t>
      </w:r>
      <w:r w:rsidR="00B25161">
        <w:t xml:space="preserve"> il solo 2026, vengono inoltre stanziati </w:t>
      </w:r>
      <w:r w:rsidR="00B2522A" w:rsidRPr="00A17436">
        <w:t xml:space="preserve">ulteriori </w:t>
      </w:r>
      <w:r w:rsidRPr="00A17436">
        <w:rPr>
          <w:color w:val="000000" w:themeColor="text1"/>
        </w:rPr>
        <w:t xml:space="preserve">€ </w:t>
      </w:r>
      <w:r w:rsidR="00F55A57" w:rsidRPr="00A17436">
        <w:rPr>
          <w:color w:val="000000" w:themeColor="text1"/>
        </w:rPr>
        <w:t xml:space="preserve">120 </w:t>
      </w:r>
      <w:r w:rsidRPr="00A17436">
        <w:rPr>
          <w:color w:val="000000" w:themeColor="text1"/>
        </w:rPr>
        <w:t>milioni</w:t>
      </w:r>
      <w:r w:rsidR="00B25161">
        <w:rPr>
          <w:color w:val="000000" w:themeColor="text1"/>
        </w:rPr>
        <w:t xml:space="preserve">, </w:t>
      </w:r>
      <w:r w:rsidR="00F55A57" w:rsidRPr="00A17436">
        <w:rPr>
          <w:color w:val="000000" w:themeColor="text1"/>
        </w:rPr>
        <w:t xml:space="preserve">che </w:t>
      </w:r>
      <w:r w:rsidR="00B2522A" w:rsidRPr="00A17436">
        <w:rPr>
          <w:color w:val="000000" w:themeColor="text1"/>
        </w:rPr>
        <w:t xml:space="preserve">si aggiungono ai </w:t>
      </w:r>
      <w:r w:rsidR="00F55A57" w:rsidRPr="00A17436">
        <w:rPr>
          <w:color w:val="000000" w:themeColor="text1"/>
        </w:rPr>
        <w:t xml:space="preserve">€ 127 </w:t>
      </w:r>
      <w:r w:rsidR="00CE2FD3" w:rsidRPr="00A17436">
        <w:rPr>
          <w:color w:val="000000" w:themeColor="text1"/>
        </w:rPr>
        <w:t xml:space="preserve">milioni </w:t>
      </w:r>
      <w:r w:rsidR="00B2522A" w:rsidRPr="00A17436">
        <w:rPr>
          <w:color w:val="000000" w:themeColor="text1"/>
        </w:rPr>
        <w:t xml:space="preserve">della </w:t>
      </w:r>
      <w:r w:rsidR="00F55A57" w:rsidRPr="00A17436">
        <w:rPr>
          <w:color w:val="000000" w:themeColor="text1"/>
        </w:rPr>
        <w:t>precedente Manovra</w:t>
      </w:r>
      <w:r w:rsidR="00B25161">
        <w:rPr>
          <w:color w:val="000000" w:themeColor="text1"/>
        </w:rPr>
        <w:t xml:space="preserve">, </w:t>
      </w:r>
      <w:r w:rsidR="00B25161">
        <w:t>per potenziare le</w:t>
      </w:r>
      <w:r w:rsidR="00B25161" w:rsidRPr="00A17436">
        <w:rPr>
          <w:color w:val="000000" w:themeColor="text1"/>
        </w:rPr>
        <w:t xml:space="preserve"> misure di prevenzione</w:t>
      </w:r>
      <w:r w:rsidRPr="00A17436">
        <w:rPr>
          <w:color w:val="000000" w:themeColor="text1"/>
        </w:rPr>
        <w:t>.</w:t>
      </w:r>
      <w:r w:rsidRPr="00A17436">
        <w:rPr>
          <w:b/>
          <w:bCs/>
        </w:rPr>
        <w:t xml:space="preserve"> </w:t>
      </w:r>
      <w:r w:rsidRPr="00A17436">
        <w:rPr>
          <w:rFonts w:cstheme="minorHAnsi"/>
        </w:rPr>
        <w:t>«Investire in prevenzione – commenta Cartabellotta – è fondamentale per ridurre l’impatto delle malattie e i costi</w:t>
      </w:r>
      <w:r w:rsidRPr="00B00E59">
        <w:rPr>
          <w:rFonts w:cstheme="minorHAnsi"/>
        </w:rPr>
        <w:t xml:space="preserve"> per il SSN. </w:t>
      </w:r>
      <w:r w:rsidR="00CE2FD3">
        <w:rPr>
          <w:rFonts w:cstheme="minorHAnsi"/>
        </w:rPr>
        <w:t>Tuttavia,</w:t>
      </w:r>
      <w:r w:rsidR="00CE2FD3" w:rsidRPr="00B00E59">
        <w:rPr>
          <w:rFonts w:cstheme="minorHAnsi"/>
        </w:rPr>
        <w:t xml:space="preserve"> </w:t>
      </w:r>
      <w:r w:rsidRPr="00B00E59">
        <w:rPr>
          <w:rFonts w:cstheme="minorHAnsi"/>
        </w:rPr>
        <w:t>l’ampliamento delle fasce di età negli screening oncologici</w:t>
      </w:r>
      <w:r w:rsidR="00CE2FD3">
        <w:rPr>
          <w:rFonts w:cstheme="minorHAnsi"/>
        </w:rPr>
        <w:t xml:space="preserve"> rischia di restare</w:t>
      </w:r>
      <w:r w:rsidRPr="00B00E59">
        <w:rPr>
          <w:rFonts w:cstheme="minorHAnsi"/>
        </w:rPr>
        <w:t xml:space="preserve"> </w:t>
      </w:r>
      <w:r w:rsidR="00B25161">
        <w:rPr>
          <w:rFonts w:cstheme="minorHAnsi"/>
        </w:rPr>
        <w:t>solo sulla carta</w:t>
      </w:r>
      <w:r w:rsidR="00CE2FD3">
        <w:rPr>
          <w:rFonts w:cstheme="minorHAnsi"/>
        </w:rPr>
        <w:t>,</w:t>
      </w:r>
      <w:r w:rsidRPr="00B00E59">
        <w:rPr>
          <w:rFonts w:cstheme="minorHAnsi"/>
        </w:rPr>
        <w:t xml:space="preserve"> soprattutto nelle Regioni del Mezzogiorno</w:t>
      </w:r>
      <w:r w:rsidR="00CE2FD3">
        <w:rPr>
          <w:rFonts w:cstheme="minorHAnsi"/>
        </w:rPr>
        <w:t>,</w:t>
      </w:r>
      <w:r w:rsidRPr="00B00E59">
        <w:rPr>
          <w:rFonts w:cstheme="minorHAnsi"/>
        </w:rPr>
        <w:t xml:space="preserve"> dove le coperture standard </w:t>
      </w:r>
      <w:r w:rsidR="00CE2FD3">
        <w:rPr>
          <w:rFonts w:cstheme="minorHAnsi"/>
        </w:rPr>
        <w:t>de</w:t>
      </w:r>
      <w:r>
        <w:rPr>
          <w:rFonts w:cstheme="minorHAnsi"/>
        </w:rPr>
        <w:t xml:space="preserve">gli screening organizzati </w:t>
      </w:r>
      <w:r w:rsidR="00B25161">
        <w:rPr>
          <w:rFonts w:cstheme="minorHAnsi"/>
        </w:rPr>
        <w:t>restano</w:t>
      </w:r>
      <w:r w:rsidR="00B25161" w:rsidRPr="00B00E59">
        <w:rPr>
          <w:rFonts w:cstheme="minorHAnsi"/>
        </w:rPr>
        <w:t xml:space="preserve"> </w:t>
      </w:r>
      <w:r w:rsidRPr="00B00E59">
        <w:rPr>
          <w:rFonts w:cstheme="minorHAnsi"/>
        </w:rPr>
        <w:t xml:space="preserve">ancora </w:t>
      </w:r>
      <w:r w:rsidR="004D270A">
        <w:rPr>
          <w:rFonts w:cstheme="minorHAnsi"/>
        </w:rPr>
        <w:t xml:space="preserve">molto </w:t>
      </w:r>
      <w:r w:rsidRPr="00B00E59">
        <w:rPr>
          <w:rFonts w:cstheme="minorHAnsi"/>
        </w:rPr>
        <w:t>lontane dai target raccomandati</w:t>
      </w:r>
      <w:r>
        <w:rPr>
          <w:rFonts w:cstheme="minorHAnsi"/>
        </w:rPr>
        <w:t>, in particolare per il tumore del colon-retto</w:t>
      </w:r>
      <w:r w:rsidRPr="00B00E59">
        <w:rPr>
          <w:rFonts w:cstheme="minorHAnsi"/>
        </w:rPr>
        <w:t>».</w:t>
      </w:r>
      <w:r w:rsidR="0088010B">
        <w:rPr>
          <w:rFonts w:cstheme="minorHAnsi"/>
        </w:rPr>
        <w:t xml:space="preserve"> </w:t>
      </w:r>
      <w:r>
        <w:t xml:space="preserve">Particolare attenzione viene </w:t>
      </w:r>
      <w:r w:rsidR="00B25161">
        <w:t xml:space="preserve">riservata </w:t>
      </w:r>
      <w:r>
        <w:t xml:space="preserve">al </w:t>
      </w:r>
      <w:r w:rsidRPr="008E2091">
        <w:rPr>
          <w:b/>
          <w:bCs/>
        </w:rPr>
        <w:t>Piano Nazionale di Azioni per la Salute Mentale</w:t>
      </w:r>
      <w:r w:rsidR="00CE2FD3">
        <w:t xml:space="preserve">, </w:t>
      </w:r>
      <w:r>
        <w:t>finanziato con € 80 milioni nel 2026, € 85</w:t>
      </w:r>
      <w:r w:rsidR="00CE2FD3">
        <w:t xml:space="preserve"> milioni</w:t>
      </w:r>
      <w:r>
        <w:t xml:space="preserve"> nel 2027 e € 90 milioni a decorrere dal 2028. Il </w:t>
      </w:r>
      <w:r w:rsidRPr="00E12476">
        <w:t>30</w:t>
      </w:r>
      <w:r>
        <w:t>%</w:t>
      </w:r>
      <w:r w:rsidRPr="00E12476">
        <w:t xml:space="preserve"> </w:t>
      </w:r>
      <w:r>
        <w:t xml:space="preserve">delle risorse </w:t>
      </w:r>
      <w:r w:rsidR="00B25161">
        <w:t>sarà</w:t>
      </w:r>
      <w:r w:rsidR="00B25161" w:rsidRPr="00E12476">
        <w:t xml:space="preserve"> </w:t>
      </w:r>
      <w:r w:rsidR="00CE2FD3" w:rsidRPr="00E12476">
        <w:t>destinat</w:t>
      </w:r>
      <w:r w:rsidR="00CE2FD3">
        <w:t xml:space="preserve">o </w:t>
      </w:r>
      <w:r w:rsidRPr="00E12476">
        <w:t>a</w:t>
      </w:r>
      <w:r>
        <w:t xml:space="preserve">d </w:t>
      </w:r>
      <w:r w:rsidR="00CE2FD3">
        <w:t>attività</w:t>
      </w:r>
      <w:r w:rsidR="00CE2FD3" w:rsidRPr="00E12476">
        <w:t xml:space="preserve"> </w:t>
      </w:r>
      <w:r w:rsidRPr="00E12476">
        <w:t>di prevenzione</w:t>
      </w:r>
      <w:r w:rsidR="00CE2FD3">
        <w:t xml:space="preserve">, mentre fino a </w:t>
      </w:r>
      <w:r>
        <w:t xml:space="preserve">€ 30 milioni </w:t>
      </w:r>
      <w:r w:rsidR="00CE2FD3">
        <w:t xml:space="preserve">potranno essere utilizzati dalla Regioni </w:t>
      </w:r>
      <w:r>
        <w:t xml:space="preserve">per </w:t>
      </w:r>
      <w:r w:rsidR="00CE2FD3">
        <w:t xml:space="preserve">l’assunzione di </w:t>
      </w:r>
      <w:r>
        <w:t xml:space="preserve">personale sanitario e socio-sanitario </w:t>
      </w:r>
      <w:r w:rsidR="00CE2FD3">
        <w:t>ne</w:t>
      </w:r>
      <w:r>
        <w:t xml:space="preserve">i servizi di salute mentale. Aumentano </w:t>
      </w:r>
      <w:r w:rsidR="00CE2FD3">
        <w:t xml:space="preserve">infine </w:t>
      </w:r>
      <w:r>
        <w:t xml:space="preserve">di € 20 milioni l’anno le risorse per le </w:t>
      </w:r>
      <w:r w:rsidRPr="00841419">
        <w:rPr>
          <w:b/>
          <w:bCs/>
        </w:rPr>
        <w:t>cure palliative</w:t>
      </w:r>
      <w:r>
        <w:t xml:space="preserve">. </w:t>
      </w:r>
    </w:p>
    <w:p w14:paraId="28CCF32C" w14:textId="2DC4A09E" w:rsidR="00B25161" w:rsidRPr="000F60B0" w:rsidRDefault="000F60B0" w:rsidP="00B0144E">
      <w:pPr>
        <w:jc w:val="both"/>
        <w:rPr>
          <w:b/>
          <w:bCs/>
        </w:rPr>
      </w:pPr>
      <w:r w:rsidRPr="001A1F0D">
        <w:rPr>
          <w:b/>
          <w:bCs/>
        </w:rPr>
        <w:t>TARIFFE DI RIMBORSO DELLE PRESTAZIONI</w:t>
      </w:r>
      <w:r>
        <w:rPr>
          <w:b/>
          <w:bCs/>
        </w:rPr>
        <w:t xml:space="preserve">. </w:t>
      </w:r>
      <w:r>
        <w:t xml:space="preserve">Vengono </w:t>
      </w:r>
      <w:r w:rsidR="00B25161">
        <w:t xml:space="preserve">stanziate nuove </w:t>
      </w:r>
      <w:r w:rsidR="00245612">
        <w:t xml:space="preserve">risorse </w:t>
      </w:r>
      <w:r>
        <w:t xml:space="preserve">per le </w:t>
      </w:r>
      <w:r w:rsidRPr="0086693C">
        <w:rPr>
          <w:b/>
          <w:bCs/>
        </w:rPr>
        <w:t xml:space="preserve">tariffe dei </w:t>
      </w:r>
      <w:r>
        <w:rPr>
          <w:b/>
          <w:bCs/>
        </w:rPr>
        <w:t xml:space="preserve">ricoveri </w:t>
      </w:r>
      <w:r w:rsidRPr="0086693C">
        <w:rPr>
          <w:b/>
          <w:bCs/>
        </w:rPr>
        <w:t>per acuti</w:t>
      </w:r>
      <w:r>
        <w:t xml:space="preserve"> (€ 350 milioni a decorrere dal 2026) e per </w:t>
      </w:r>
      <w:r w:rsidRPr="003F49A7">
        <w:rPr>
          <w:b/>
          <w:bCs/>
        </w:rPr>
        <w:t>l’adeguamento delle tariffe di specialistica ambulatoriale e protesica</w:t>
      </w:r>
      <w:r>
        <w:rPr>
          <w:b/>
          <w:bCs/>
        </w:rPr>
        <w:t xml:space="preserve"> </w:t>
      </w:r>
      <w:r>
        <w:t>(€ 100 milioni di risorse vincolate nel 2026 e € 183 milioni a decorrere dal 2027)</w:t>
      </w:r>
      <w:r w:rsidR="00CE2FD3">
        <w:t xml:space="preserve">. </w:t>
      </w:r>
    </w:p>
    <w:p w14:paraId="3CF07AD8" w14:textId="65A8A820" w:rsidR="00B25161" w:rsidRPr="003C6E53" w:rsidRDefault="000F60B0" w:rsidP="00B0144E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RISORSE </w:t>
      </w:r>
      <w:r w:rsidR="00FE7C14">
        <w:rPr>
          <w:rFonts w:cstheme="minorHAnsi"/>
          <w:b/>
          <w:bCs/>
        </w:rPr>
        <w:t xml:space="preserve">ASSEGNATE A </w:t>
      </w:r>
      <w:r>
        <w:rPr>
          <w:rFonts w:cstheme="minorHAnsi"/>
          <w:b/>
          <w:bCs/>
        </w:rPr>
        <w:t>IMPRESE E SOGGETTI PRIVATI</w:t>
      </w:r>
      <w:r w:rsidRPr="00886EC5">
        <w:rPr>
          <w:rFonts w:cstheme="minorHAnsi"/>
        </w:rPr>
        <w:t xml:space="preserve">. </w:t>
      </w:r>
      <w:r w:rsidR="00886EC5" w:rsidRPr="00886EC5">
        <w:rPr>
          <w:rFonts w:cstheme="minorHAnsi"/>
        </w:rPr>
        <w:t xml:space="preserve">Oltre € 900 milioni </w:t>
      </w:r>
      <w:r w:rsidR="00CE2FD3">
        <w:rPr>
          <w:rFonts w:cstheme="minorHAnsi"/>
        </w:rPr>
        <w:t xml:space="preserve">vengono </w:t>
      </w:r>
      <w:r w:rsidR="00B25161">
        <w:rPr>
          <w:rFonts w:cstheme="minorHAnsi"/>
        </w:rPr>
        <w:t xml:space="preserve">destinati </w:t>
      </w:r>
      <w:r>
        <w:rPr>
          <w:rFonts w:cstheme="minorHAnsi"/>
        </w:rPr>
        <w:t>a soggetti privati</w:t>
      </w:r>
      <w:r w:rsidR="004B4B2F">
        <w:rPr>
          <w:rFonts w:cstheme="minorHAnsi"/>
        </w:rPr>
        <w:t xml:space="preserve">: </w:t>
      </w:r>
      <w:r w:rsidR="004B4B2F" w:rsidRPr="002322B6">
        <w:t xml:space="preserve">€ 50 milioni l’anno </w:t>
      </w:r>
      <w:r w:rsidR="004B4B2F">
        <w:t xml:space="preserve">vincolati </w:t>
      </w:r>
      <w:r w:rsidR="004B4B2F" w:rsidRPr="002322B6">
        <w:t xml:space="preserve">per la stabilizzazione della </w:t>
      </w:r>
      <w:r w:rsidR="004B4B2F" w:rsidRPr="002322B6">
        <w:rPr>
          <w:b/>
          <w:bCs/>
        </w:rPr>
        <w:t>farmacia dei servizi</w:t>
      </w:r>
      <w:r w:rsidR="00AA632B">
        <w:t xml:space="preserve">; </w:t>
      </w:r>
      <w:r w:rsidRPr="004B4B2F">
        <w:t xml:space="preserve">€ 350 </w:t>
      </w:r>
      <w:r w:rsidRPr="002322B6">
        <w:t xml:space="preserve">milioni per </w:t>
      </w:r>
      <w:r w:rsidR="009A5C59" w:rsidRPr="002322B6">
        <w:t>la rideterminazione de</w:t>
      </w:r>
      <w:r w:rsidRPr="002322B6">
        <w:t xml:space="preserve">i tetti della </w:t>
      </w:r>
      <w:r w:rsidRPr="002322B6">
        <w:rPr>
          <w:b/>
          <w:bCs/>
        </w:rPr>
        <w:t>spesa farmaceutica</w:t>
      </w:r>
      <w:r w:rsidRPr="002322B6">
        <w:t>, sia per gli acquisiti diretti (+0,20%) sia per la spesa convenzionata (+0,05%)</w:t>
      </w:r>
      <w:r w:rsidR="003C6E53" w:rsidRPr="002322B6">
        <w:t>;</w:t>
      </w:r>
      <w:r w:rsidR="003C6E53" w:rsidRPr="002322B6">
        <w:rPr>
          <w:rFonts w:cstheme="minorHAnsi"/>
          <w:b/>
          <w:bCs/>
        </w:rPr>
        <w:t xml:space="preserve"> </w:t>
      </w:r>
      <w:r w:rsidR="009A5C59" w:rsidRPr="004B4B2F">
        <w:t>€ 280</w:t>
      </w:r>
      <w:r w:rsidR="009A5C59" w:rsidRPr="002322B6">
        <w:t xml:space="preserve"> milioni </w:t>
      </w:r>
      <w:r w:rsidR="009A5C59">
        <w:t xml:space="preserve">l’anno per l’aumento del </w:t>
      </w:r>
      <w:r w:rsidRPr="00841419">
        <w:t xml:space="preserve">tetto di spesa per i </w:t>
      </w:r>
      <w:r w:rsidRPr="003C6E53">
        <w:rPr>
          <w:b/>
          <w:bCs/>
        </w:rPr>
        <w:t>dispositivi medici</w:t>
      </w:r>
      <w:r w:rsidR="003C6E53">
        <w:t xml:space="preserve">; </w:t>
      </w:r>
      <w:r w:rsidR="009A5C59" w:rsidRPr="009168AE">
        <w:t xml:space="preserve">€ </w:t>
      </w:r>
      <w:r w:rsidR="00AA632B">
        <w:t>123</w:t>
      </w:r>
      <w:r w:rsidR="009A5C59" w:rsidRPr="009168AE">
        <w:t xml:space="preserve"> milioni </w:t>
      </w:r>
      <w:r w:rsidR="009A5C59">
        <w:t>a decorrere dal 2026 per l’ampliamento del</w:t>
      </w:r>
      <w:r>
        <w:t xml:space="preserve"> tetto </w:t>
      </w:r>
      <w:r w:rsidR="009A5C59">
        <w:t>di spesa relativo all’</w:t>
      </w:r>
      <w:r>
        <w:t xml:space="preserve">acquisto di prestazioni sanitarie di specialistica ambulatoriale e di assistenza ospedaliera </w:t>
      </w:r>
      <w:r w:rsidR="009A5C59">
        <w:t xml:space="preserve">dagli </w:t>
      </w:r>
      <w:r w:rsidRPr="003C6E53">
        <w:rPr>
          <w:b/>
          <w:bCs/>
        </w:rPr>
        <w:t>erogatori privati accreditati</w:t>
      </w:r>
      <w:r w:rsidR="009A5C59">
        <w:t>.</w:t>
      </w:r>
    </w:p>
    <w:p w14:paraId="16B43D3A" w14:textId="0200BDE1" w:rsidR="005D18F5" w:rsidRPr="003C6E53" w:rsidRDefault="000F60B0" w:rsidP="00B0144E">
      <w:pPr>
        <w:jc w:val="both"/>
        <w:rPr>
          <w:rStyle w:val="Collegamentoipertestuale"/>
          <w:b/>
          <w:bCs/>
          <w:color w:val="auto"/>
          <w:u w:val="none"/>
        </w:rPr>
      </w:pPr>
      <w:r w:rsidRPr="001A1F0D">
        <w:rPr>
          <w:b/>
          <w:bCs/>
        </w:rPr>
        <w:t>ALTRE MISURE</w:t>
      </w:r>
      <w:r w:rsidR="005026C1">
        <w:rPr>
          <w:b/>
          <w:bCs/>
        </w:rPr>
        <w:t xml:space="preserve"> A VALERE SUL FONDO SANITARIO NAZIONALE</w:t>
      </w:r>
      <w:r w:rsidR="009A5C59">
        <w:rPr>
          <w:b/>
          <w:bCs/>
        </w:rPr>
        <w:t xml:space="preserve">. </w:t>
      </w:r>
      <w:r w:rsidR="009A5C59" w:rsidRPr="003C6E53">
        <w:rPr>
          <w:bCs/>
        </w:rPr>
        <w:t>Sono previste risorse destinate</w:t>
      </w:r>
      <w:r w:rsidR="005026C1" w:rsidRPr="005026C1">
        <w:t xml:space="preserve"> a</w:t>
      </w:r>
      <w:r w:rsidRPr="005026C1">
        <w:t>gli</w:t>
      </w:r>
      <w:r w:rsidRPr="007C171A">
        <w:t xml:space="preserve"> </w:t>
      </w:r>
      <w:r w:rsidRPr="007C171A">
        <w:rPr>
          <w:b/>
          <w:bCs/>
        </w:rPr>
        <w:t xml:space="preserve">Istituti </w:t>
      </w:r>
      <w:r>
        <w:rPr>
          <w:b/>
          <w:bCs/>
        </w:rPr>
        <w:t>Z</w:t>
      </w:r>
      <w:r w:rsidRPr="007C171A">
        <w:rPr>
          <w:b/>
          <w:bCs/>
        </w:rPr>
        <w:t xml:space="preserve">ooprofilattici </w:t>
      </w:r>
      <w:r>
        <w:rPr>
          <w:b/>
          <w:bCs/>
        </w:rPr>
        <w:t>S</w:t>
      </w:r>
      <w:r w:rsidRPr="007C171A">
        <w:rPr>
          <w:b/>
          <w:bCs/>
        </w:rPr>
        <w:t>perimentali</w:t>
      </w:r>
      <w:r w:rsidRPr="007C171A">
        <w:t xml:space="preserve"> </w:t>
      </w:r>
      <w:r>
        <w:t xml:space="preserve">(€ </w:t>
      </w:r>
      <w:r w:rsidRPr="007C171A">
        <w:t xml:space="preserve">10 milioni a decorrere </w:t>
      </w:r>
      <w:r>
        <w:t xml:space="preserve">dal </w:t>
      </w:r>
      <w:r w:rsidRPr="007C171A">
        <w:t>2026</w:t>
      </w:r>
      <w:r w:rsidR="004D270A">
        <w:t xml:space="preserve">) </w:t>
      </w:r>
      <w:r w:rsidR="009A5C59">
        <w:t>e</w:t>
      </w:r>
      <w:r w:rsidR="005026C1">
        <w:t xml:space="preserve"> all’</w:t>
      </w:r>
      <w:r w:rsidR="005026C1" w:rsidRPr="005026C1">
        <w:rPr>
          <w:b/>
          <w:bCs/>
        </w:rPr>
        <w:t xml:space="preserve">Ospedale </w:t>
      </w:r>
      <w:r w:rsidR="009A5C59">
        <w:rPr>
          <w:b/>
          <w:bCs/>
        </w:rPr>
        <w:t>P</w:t>
      </w:r>
      <w:r w:rsidR="009A5C59" w:rsidRPr="005026C1">
        <w:rPr>
          <w:b/>
          <w:bCs/>
        </w:rPr>
        <w:t xml:space="preserve">ediatrico </w:t>
      </w:r>
      <w:r w:rsidR="005026C1" w:rsidRPr="005026C1">
        <w:rPr>
          <w:b/>
          <w:bCs/>
        </w:rPr>
        <w:t>Bambin</w:t>
      </w:r>
      <w:r w:rsidR="009A5C59">
        <w:rPr>
          <w:b/>
          <w:bCs/>
        </w:rPr>
        <w:t>o</w:t>
      </w:r>
      <w:r w:rsidR="005026C1" w:rsidRPr="005026C1">
        <w:rPr>
          <w:b/>
          <w:bCs/>
        </w:rPr>
        <w:t xml:space="preserve"> Gesù</w:t>
      </w:r>
      <w:r w:rsidR="005026C1">
        <w:t xml:space="preserve"> (€ 50 milioni a decorrere dal 2026)</w:t>
      </w:r>
      <w:r w:rsidR="00FE4E86">
        <w:t>.</w:t>
      </w:r>
    </w:p>
    <w:p w14:paraId="21F65FCD" w14:textId="731F7744" w:rsidR="00B25161" w:rsidRPr="003C6E53" w:rsidRDefault="005B3E88" w:rsidP="00B0144E">
      <w:pPr>
        <w:suppressAutoHyphens/>
        <w:spacing w:after="120"/>
        <w:jc w:val="both"/>
        <w:rPr>
          <w:rFonts w:cstheme="minorHAnsi"/>
        </w:rPr>
      </w:pPr>
      <w:r w:rsidRPr="00154086">
        <w:rPr>
          <w:rFonts w:cstheme="minorHAnsi"/>
        </w:rPr>
        <w:t>«</w:t>
      </w:r>
      <w:r w:rsidR="00F35642">
        <w:rPr>
          <w:rFonts w:cstheme="minorHAnsi"/>
        </w:rPr>
        <w:t xml:space="preserve">Nonostante gli annunci e le cifre altisonanti </w:t>
      </w:r>
      <w:r w:rsidRPr="00154086">
        <w:rPr>
          <w:rFonts w:cstheme="minorHAnsi"/>
        </w:rPr>
        <w:t>– conclude Cartabellotta –</w:t>
      </w:r>
      <w:r>
        <w:rPr>
          <w:rFonts w:cstheme="minorHAnsi"/>
        </w:rPr>
        <w:t xml:space="preserve"> la Legge di Bilancio </w:t>
      </w:r>
      <w:r w:rsidR="00B25161">
        <w:rPr>
          <w:rFonts w:cstheme="minorHAnsi"/>
        </w:rPr>
        <w:t xml:space="preserve">delude </w:t>
      </w:r>
      <w:r>
        <w:rPr>
          <w:rFonts w:cstheme="minorHAnsi"/>
        </w:rPr>
        <w:t xml:space="preserve">le legittime aspettative di professionisti sanitari e cittadini, oggi alle prese con un SSN </w:t>
      </w:r>
      <w:r w:rsidR="00B25161">
        <w:rPr>
          <w:rFonts w:cstheme="minorHAnsi"/>
        </w:rPr>
        <w:t>che fatica sempre più a</w:t>
      </w:r>
      <w:r>
        <w:rPr>
          <w:rFonts w:cstheme="minorHAnsi"/>
        </w:rPr>
        <w:t xml:space="preserve"> rispondere ai bisogni di salute della popolazione. </w:t>
      </w:r>
      <w:r w:rsidR="00FE4E86">
        <w:rPr>
          <w:rFonts w:cstheme="minorHAnsi"/>
        </w:rPr>
        <w:t>L</w:t>
      </w:r>
      <w:r>
        <w:rPr>
          <w:rFonts w:cstheme="minorHAnsi"/>
        </w:rPr>
        <w:t xml:space="preserve">’analisi delle risorse </w:t>
      </w:r>
      <w:r w:rsidR="00FE4E86">
        <w:rPr>
          <w:rFonts w:cstheme="minorHAnsi"/>
        </w:rPr>
        <w:t xml:space="preserve">destinate </w:t>
      </w:r>
      <w:r w:rsidRPr="00F30A0D">
        <w:rPr>
          <w:rFonts w:cstheme="minorHAnsi"/>
        </w:rPr>
        <w:t>alla sanità</w:t>
      </w:r>
      <w:r w:rsidR="00FE4E86">
        <w:rPr>
          <w:rFonts w:cstheme="minorHAnsi"/>
        </w:rPr>
        <w:t xml:space="preserve"> evidenzia </w:t>
      </w:r>
      <w:r w:rsidR="00DE5673">
        <w:rPr>
          <w:rFonts w:cstheme="minorHAnsi"/>
        </w:rPr>
        <w:t>alcun</w:t>
      </w:r>
      <w:r w:rsidR="00B25161">
        <w:rPr>
          <w:rFonts w:cstheme="minorHAnsi"/>
        </w:rPr>
        <w:t>e criticità estremamente rilevanti</w:t>
      </w:r>
      <w:r w:rsidRPr="008A6231">
        <w:rPr>
          <w:rFonts w:cstheme="minorHAnsi"/>
        </w:rPr>
        <w:t xml:space="preserve">. </w:t>
      </w:r>
      <w:r w:rsidR="003C6E53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154086">
        <w:rPr>
          <w:rFonts w:cstheme="minorHAnsi"/>
        </w:rPr>
        <w:t>nna</w:t>
      </w:r>
      <w:r>
        <w:rPr>
          <w:rFonts w:cstheme="minorHAnsi"/>
        </w:rPr>
        <w:t xml:space="preserve">nzitutto, il boom </w:t>
      </w:r>
      <w:r w:rsidR="00FE4E86">
        <w:rPr>
          <w:rFonts w:cstheme="minorHAnsi"/>
        </w:rPr>
        <w:t xml:space="preserve">di </w:t>
      </w:r>
      <w:r>
        <w:rPr>
          <w:rFonts w:cstheme="minorHAnsi"/>
        </w:rPr>
        <w:t xml:space="preserve">risorse riguarda solo il 2026, </w:t>
      </w:r>
      <w:r w:rsidR="00FE4E86">
        <w:rPr>
          <w:rFonts w:cstheme="minorHAnsi"/>
        </w:rPr>
        <w:t xml:space="preserve">quando </w:t>
      </w:r>
      <w:r>
        <w:rPr>
          <w:rFonts w:cstheme="minorHAnsi"/>
        </w:rPr>
        <w:t xml:space="preserve">il FSN aumenta di </w:t>
      </w:r>
      <w:r w:rsidRPr="00BB3981">
        <w:rPr>
          <w:rFonts w:cstheme="minorHAnsi"/>
        </w:rPr>
        <w:t xml:space="preserve">€ </w:t>
      </w:r>
      <w:r w:rsidR="00F35642" w:rsidRPr="00BB3981">
        <w:rPr>
          <w:rFonts w:cstheme="minorHAnsi"/>
        </w:rPr>
        <w:t xml:space="preserve">6,6 </w:t>
      </w:r>
      <w:r>
        <w:rPr>
          <w:rFonts w:cstheme="minorHAnsi"/>
        </w:rPr>
        <w:t>miliardi</w:t>
      </w:r>
      <w:r w:rsidR="00BB3981">
        <w:rPr>
          <w:rFonts w:cstheme="minorHAnsi"/>
        </w:rPr>
        <w:t xml:space="preserve">, di cui </w:t>
      </w:r>
      <w:r w:rsidR="00F35642">
        <w:rPr>
          <w:rFonts w:cstheme="minorHAnsi"/>
        </w:rPr>
        <w:t xml:space="preserve">quasi due terzi </w:t>
      </w:r>
      <w:r w:rsidR="00FE4E86">
        <w:rPr>
          <w:rFonts w:cstheme="minorHAnsi"/>
        </w:rPr>
        <w:t>derivano d</w:t>
      </w:r>
      <w:r>
        <w:rPr>
          <w:rFonts w:cstheme="minorHAnsi"/>
        </w:rPr>
        <w:t>a</w:t>
      </w:r>
      <w:r w:rsidR="00BB3981">
        <w:rPr>
          <w:rFonts w:cstheme="minorHAnsi"/>
        </w:rPr>
        <w:t xml:space="preserve"> </w:t>
      </w:r>
      <w:r>
        <w:rPr>
          <w:rFonts w:cstheme="minorHAnsi"/>
        </w:rPr>
        <w:t>stanziamenti precedent</w:t>
      </w:r>
      <w:r w:rsidR="00BB3981">
        <w:rPr>
          <w:rFonts w:cstheme="minorHAnsi"/>
        </w:rPr>
        <w:t>i</w:t>
      </w:r>
      <w:r>
        <w:rPr>
          <w:rFonts w:cstheme="minorHAnsi"/>
        </w:rPr>
        <w:t xml:space="preserve"> e </w:t>
      </w:r>
      <w:r w:rsidR="00FE4E86">
        <w:rPr>
          <w:rFonts w:cstheme="minorHAnsi"/>
        </w:rPr>
        <w:t>destinati</w:t>
      </w:r>
      <w:r>
        <w:rPr>
          <w:rFonts w:cstheme="minorHAnsi"/>
        </w:rPr>
        <w:t xml:space="preserve"> a</w:t>
      </w:r>
      <w:r w:rsidR="00675D78">
        <w:rPr>
          <w:rFonts w:cstheme="minorHAnsi"/>
        </w:rPr>
        <w:t xml:space="preserve">i rinnovi </w:t>
      </w:r>
      <w:r>
        <w:rPr>
          <w:rFonts w:cstheme="minorHAnsi"/>
        </w:rPr>
        <w:t xml:space="preserve">contrattuali del personale sanitario. </w:t>
      </w:r>
      <w:r w:rsidR="00B25161">
        <w:rPr>
          <w:rFonts w:cstheme="minorHAnsi"/>
        </w:rPr>
        <w:t>P</w:t>
      </w:r>
      <w:r>
        <w:rPr>
          <w:rFonts w:cstheme="minorHAnsi"/>
        </w:rPr>
        <w:t xml:space="preserve">er </w:t>
      </w:r>
      <w:r w:rsidR="00FE4E86">
        <w:rPr>
          <w:rFonts w:cstheme="minorHAnsi"/>
        </w:rPr>
        <w:t>il biennio</w:t>
      </w:r>
      <w:r>
        <w:rPr>
          <w:rFonts w:cstheme="minorHAnsi"/>
        </w:rPr>
        <w:t xml:space="preserve"> 2027-2028</w:t>
      </w:r>
      <w:r w:rsidR="00B25161">
        <w:rPr>
          <w:rFonts w:cstheme="minorHAnsi"/>
        </w:rPr>
        <w:t>, invece,</w:t>
      </w:r>
      <w:r w:rsidR="00BB3981">
        <w:rPr>
          <w:rFonts w:cstheme="minorHAnsi"/>
        </w:rPr>
        <w:t xml:space="preserve"> </w:t>
      </w:r>
      <w:r w:rsidR="00B125BD">
        <w:rPr>
          <w:rFonts w:cstheme="minorHAnsi"/>
        </w:rPr>
        <w:t>gli</w:t>
      </w:r>
      <w:r w:rsidR="00BB3981">
        <w:rPr>
          <w:rFonts w:cstheme="minorHAnsi"/>
        </w:rPr>
        <w:t xml:space="preserve"> importi </w:t>
      </w:r>
      <w:r w:rsidR="00B125BD">
        <w:rPr>
          <w:rFonts w:cstheme="minorHAnsi"/>
        </w:rPr>
        <w:t xml:space="preserve">assegnati </w:t>
      </w:r>
      <w:r w:rsidR="00675D78">
        <w:rPr>
          <w:rFonts w:cstheme="minorHAnsi"/>
        </w:rPr>
        <w:t>sono esigui</w:t>
      </w:r>
      <w:r>
        <w:rPr>
          <w:rFonts w:cstheme="minorHAnsi"/>
        </w:rPr>
        <w:t xml:space="preserve">, senza </w:t>
      </w:r>
      <w:r w:rsidRPr="00BC2CE3">
        <w:rPr>
          <w:rFonts w:cstheme="minorHAnsi"/>
        </w:rPr>
        <w:t xml:space="preserve">alcun </w:t>
      </w:r>
      <w:r w:rsidR="00FE4E86">
        <w:rPr>
          <w:rFonts w:cstheme="minorHAnsi"/>
        </w:rPr>
        <w:t xml:space="preserve">segnale di </w:t>
      </w:r>
      <w:r w:rsidRPr="00BC2CE3">
        <w:rPr>
          <w:rFonts w:cstheme="minorHAnsi"/>
        </w:rPr>
        <w:t>rilancio</w:t>
      </w:r>
      <w:r>
        <w:rPr>
          <w:rFonts w:cstheme="minorHAnsi"/>
        </w:rPr>
        <w:t xml:space="preserve"> progressivo del finanziamento pubblico</w:t>
      </w:r>
      <w:r w:rsidR="00FE4E86">
        <w:rPr>
          <w:rFonts w:cstheme="minorHAnsi"/>
        </w:rPr>
        <w:t>,</w:t>
      </w:r>
      <w:r>
        <w:rPr>
          <w:rFonts w:cstheme="minorHAnsi"/>
        </w:rPr>
        <w:t xml:space="preserve"> come </w:t>
      </w:r>
      <w:r w:rsidR="00FE4E86">
        <w:rPr>
          <w:rFonts w:cstheme="minorHAnsi"/>
        </w:rPr>
        <w:t xml:space="preserve">conferma la riduzione </w:t>
      </w:r>
      <w:r>
        <w:rPr>
          <w:rFonts w:cstheme="minorHAnsi"/>
        </w:rPr>
        <w:t xml:space="preserve">della quota di PIL </w:t>
      </w:r>
      <w:r w:rsidR="00FE4E86">
        <w:rPr>
          <w:rFonts w:cstheme="minorHAnsi"/>
        </w:rPr>
        <w:t xml:space="preserve">destinata </w:t>
      </w:r>
      <w:r>
        <w:rPr>
          <w:rFonts w:cstheme="minorHAnsi"/>
        </w:rPr>
        <w:t>al FSN.</w:t>
      </w:r>
      <w:r w:rsidR="003C6E53">
        <w:rPr>
          <w:rFonts w:cstheme="minorHAnsi"/>
        </w:rPr>
        <w:t xml:space="preserve"> </w:t>
      </w:r>
      <w:r>
        <w:rPr>
          <w:rFonts w:cstheme="minorHAnsi"/>
        </w:rPr>
        <w:t xml:space="preserve">In secondo luogo, </w:t>
      </w:r>
      <w:r w:rsidRPr="00BC2CE3">
        <w:rPr>
          <w:rFonts w:cstheme="minorHAnsi"/>
        </w:rPr>
        <w:t xml:space="preserve">le risorse </w:t>
      </w:r>
      <w:r w:rsidR="00B125BD">
        <w:rPr>
          <w:rFonts w:cstheme="minorHAnsi"/>
        </w:rPr>
        <w:t xml:space="preserve">risultano </w:t>
      </w:r>
      <w:r>
        <w:rPr>
          <w:rFonts w:cstheme="minorHAnsi"/>
        </w:rPr>
        <w:t xml:space="preserve">disperse </w:t>
      </w:r>
      <w:r w:rsidRPr="00BC2CE3">
        <w:rPr>
          <w:rFonts w:cstheme="minorHAnsi"/>
        </w:rPr>
        <w:t xml:space="preserve">in </w:t>
      </w:r>
      <w:r w:rsidR="00B125BD">
        <w:rPr>
          <w:rFonts w:cstheme="minorHAnsi"/>
        </w:rPr>
        <w:t>numerosi</w:t>
      </w:r>
      <w:r w:rsidR="00B125BD" w:rsidRPr="00BC2CE3">
        <w:rPr>
          <w:rFonts w:cstheme="minorHAnsi"/>
        </w:rPr>
        <w:t xml:space="preserve"> </w:t>
      </w:r>
      <w:r w:rsidRPr="00BC2CE3">
        <w:rPr>
          <w:rFonts w:cstheme="minorHAnsi"/>
        </w:rPr>
        <w:t>rivoli</w:t>
      </w:r>
      <w:r w:rsidR="00B125BD">
        <w:rPr>
          <w:rFonts w:cstheme="minorHAnsi"/>
        </w:rPr>
        <w:t xml:space="preserve">: una scelta che mira a </w:t>
      </w:r>
      <w:r>
        <w:rPr>
          <w:rFonts w:cstheme="minorHAnsi"/>
        </w:rPr>
        <w:t>non scontentare nessuno</w:t>
      </w:r>
      <w:r w:rsidR="00BB3981">
        <w:rPr>
          <w:rFonts w:cstheme="minorHAnsi"/>
        </w:rPr>
        <w:t>,</w:t>
      </w:r>
      <w:r w:rsidR="00FE4E86">
        <w:rPr>
          <w:rFonts w:cstheme="minorHAnsi"/>
        </w:rPr>
        <w:t xml:space="preserve"> </w:t>
      </w:r>
      <w:r w:rsidR="00F35642">
        <w:rPr>
          <w:rFonts w:cstheme="minorHAnsi"/>
        </w:rPr>
        <w:t xml:space="preserve">ma </w:t>
      </w:r>
      <w:r w:rsidR="00B125BD">
        <w:rPr>
          <w:rFonts w:cstheme="minorHAnsi"/>
        </w:rPr>
        <w:t>che priva la Manovra di una</w:t>
      </w:r>
      <w:r w:rsidR="00F35642">
        <w:rPr>
          <w:rFonts w:cstheme="minorHAnsi"/>
        </w:rPr>
        <w:t xml:space="preserve"> visione </w:t>
      </w:r>
      <w:r w:rsidR="00FE4E86">
        <w:rPr>
          <w:rFonts w:cstheme="minorHAnsi"/>
        </w:rPr>
        <w:t xml:space="preserve">strategica per </w:t>
      </w:r>
      <w:r w:rsidR="00B125BD">
        <w:rPr>
          <w:rFonts w:cstheme="minorHAnsi"/>
        </w:rPr>
        <w:t>il rilancio del</w:t>
      </w:r>
      <w:r w:rsidR="00F35642">
        <w:rPr>
          <w:rFonts w:cstheme="minorHAnsi"/>
        </w:rPr>
        <w:t xml:space="preserve"> SSN</w:t>
      </w:r>
      <w:r w:rsidR="00FE4E86">
        <w:rPr>
          <w:rFonts w:cstheme="minorHAnsi"/>
        </w:rPr>
        <w:t xml:space="preserve">: le </w:t>
      </w:r>
      <w:r>
        <w:rPr>
          <w:rFonts w:cstheme="minorHAnsi"/>
        </w:rPr>
        <w:t>Regioni</w:t>
      </w:r>
      <w:r w:rsidR="00FE4E86">
        <w:rPr>
          <w:rFonts w:cstheme="minorHAnsi"/>
        </w:rPr>
        <w:t xml:space="preserve">, già in difficoltà, si </w:t>
      </w:r>
      <w:r w:rsidR="00B125BD">
        <w:rPr>
          <w:rFonts w:cstheme="minorHAnsi"/>
        </w:rPr>
        <w:t xml:space="preserve">trovano così </w:t>
      </w:r>
      <w:r w:rsidR="00FE4E86">
        <w:rPr>
          <w:rFonts w:cstheme="minorHAnsi"/>
        </w:rPr>
        <w:t xml:space="preserve">a </w:t>
      </w:r>
      <w:r w:rsidR="0084638C">
        <w:rPr>
          <w:rFonts w:cstheme="minorHAnsi"/>
        </w:rPr>
        <w:t>operare con margini di bilancio sempre più stretti</w:t>
      </w:r>
      <w:r w:rsidR="00FE4E86">
        <w:rPr>
          <w:rFonts w:cstheme="minorHAnsi"/>
        </w:rPr>
        <w:t xml:space="preserve"> e a dover</w:t>
      </w:r>
      <w:r w:rsidR="00F35642">
        <w:rPr>
          <w:rFonts w:cstheme="minorHAnsi"/>
        </w:rPr>
        <w:t xml:space="preserve"> attingere a risorse proprie per colmare </w:t>
      </w:r>
      <w:r>
        <w:rPr>
          <w:rFonts w:cstheme="minorHAnsi"/>
        </w:rPr>
        <w:t>il gap tra</w:t>
      </w:r>
      <w:r w:rsidR="00B125BD">
        <w:rPr>
          <w:rFonts w:cstheme="minorHAnsi"/>
        </w:rPr>
        <w:t xml:space="preserve"> le</w:t>
      </w:r>
      <w:r>
        <w:rPr>
          <w:rFonts w:cstheme="minorHAnsi"/>
        </w:rPr>
        <w:t xml:space="preserve"> previsioni di spesa sanitaria </w:t>
      </w:r>
      <w:r w:rsidR="00B125BD">
        <w:rPr>
          <w:rFonts w:cstheme="minorHAnsi"/>
        </w:rPr>
        <w:t>e i</w:t>
      </w:r>
      <w:r w:rsidR="00FE4E86">
        <w:rPr>
          <w:rFonts w:cstheme="minorHAnsi"/>
        </w:rPr>
        <w:t xml:space="preserve"> fondi </w:t>
      </w:r>
      <w:r w:rsidR="00B125BD">
        <w:rPr>
          <w:rFonts w:cstheme="minorHAnsi"/>
        </w:rPr>
        <w:t xml:space="preserve">effettivamente </w:t>
      </w:r>
      <w:r w:rsidR="00FE4E86">
        <w:rPr>
          <w:rFonts w:cstheme="minorHAnsi"/>
        </w:rPr>
        <w:t>assegnati</w:t>
      </w:r>
      <w:r w:rsidR="00A17436">
        <w:rPr>
          <w:rFonts w:cstheme="minorHAnsi"/>
        </w:rPr>
        <w:t xml:space="preserve">. </w:t>
      </w:r>
      <w:r w:rsidR="00F35642">
        <w:rPr>
          <w:rFonts w:cstheme="minorHAnsi"/>
        </w:rPr>
        <w:t xml:space="preserve">Infine, la Manovra non </w:t>
      </w:r>
      <w:r w:rsidR="00675D78">
        <w:rPr>
          <w:rFonts w:cstheme="minorHAnsi"/>
        </w:rPr>
        <w:t>prevede</w:t>
      </w:r>
      <w:r w:rsidR="00B125BD">
        <w:rPr>
          <w:rFonts w:cstheme="minorHAnsi"/>
        </w:rPr>
        <w:t xml:space="preserve"> interventi </w:t>
      </w:r>
      <w:r w:rsidR="00675D78">
        <w:rPr>
          <w:rFonts w:cstheme="minorHAnsi"/>
        </w:rPr>
        <w:t xml:space="preserve">strutturali per </w:t>
      </w:r>
      <w:r>
        <w:rPr>
          <w:rFonts w:cstheme="minorHAnsi"/>
        </w:rPr>
        <w:t>restituire attrattività al</w:t>
      </w:r>
      <w:r w:rsidR="00FE4E86">
        <w:rPr>
          <w:rFonts w:cstheme="minorHAnsi"/>
        </w:rPr>
        <w:t>l</w:t>
      </w:r>
      <w:r w:rsidR="00B125BD">
        <w:rPr>
          <w:rFonts w:cstheme="minorHAnsi"/>
        </w:rPr>
        <w:t>e</w:t>
      </w:r>
      <w:r w:rsidR="00FE4E86">
        <w:rPr>
          <w:rFonts w:cstheme="minorHAnsi"/>
        </w:rPr>
        <w:t xml:space="preserve"> </w:t>
      </w:r>
      <w:r w:rsidR="00B125BD">
        <w:rPr>
          <w:rFonts w:cstheme="minorHAnsi"/>
        </w:rPr>
        <w:t xml:space="preserve">carriere </w:t>
      </w:r>
      <w:r w:rsidR="00FE4E86">
        <w:rPr>
          <w:rFonts w:cstheme="minorHAnsi"/>
        </w:rPr>
        <w:t xml:space="preserve">nel </w:t>
      </w:r>
      <w:r>
        <w:rPr>
          <w:rFonts w:cstheme="minorHAnsi"/>
        </w:rPr>
        <w:t xml:space="preserve">SSN: gli incrementi contrattuali sono </w:t>
      </w:r>
      <w:r w:rsidR="00B125BD">
        <w:rPr>
          <w:rFonts w:cstheme="minorHAnsi"/>
        </w:rPr>
        <w:t>limitati</w:t>
      </w:r>
      <w:r w:rsidR="00FE4E86">
        <w:rPr>
          <w:rFonts w:cstheme="minorHAnsi"/>
        </w:rPr>
        <w:t xml:space="preserve">, </w:t>
      </w:r>
      <w:r>
        <w:rPr>
          <w:rFonts w:cstheme="minorHAnsi"/>
        </w:rPr>
        <w:t xml:space="preserve">le </w:t>
      </w:r>
      <w:r w:rsidR="00B125BD">
        <w:rPr>
          <w:rFonts w:cstheme="minorHAnsi"/>
        </w:rPr>
        <w:t xml:space="preserve">misure </w:t>
      </w:r>
      <w:r>
        <w:rPr>
          <w:rFonts w:cstheme="minorHAnsi"/>
        </w:rPr>
        <w:t xml:space="preserve">per le assunzioni degli infermieri si scontrano con la </w:t>
      </w:r>
      <w:r w:rsidR="003C6E53">
        <w:rPr>
          <w:rFonts w:cstheme="minorHAnsi"/>
        </w:rPr>
        <w:t xml:space="preserve">grave </w:t>
      </w:r>
      <w:r w:rsidR="00FE4E86">
        <w:rPr>
          <w:rFonts w:cstheme="minorHAnsi"/>
        </w:rPr>
        <w:t xml:space="preserve">carenza di </w:t>
      </w:r>
      <w:r w:rsidR="00FE4E86">
        <w:rPr>
          <w:rFonts w:cstheme="minorHAnsi"/>
        </w:rPr>
        <w:lastRenderedPageBreak/>
        <w:t xml:space="preserve">professionisti disponibili – </w:t>
      </w:r>
      <w:r w:rsidR="00BB3981">
        <w:rPr>
          <w:rFonts w:cstheme="minorHAnsi"/>
        </w:rPr>
        <w:t xml:space="preserve">se non tramite </w:t>
      </w:r>
      <w:r w:rsidR="00FE4E86">
        <w:rPr>
          <w:rFonts w:cstheme="minorHAnsi"/>
        </w:rPr>
        <w:t>reclutamenti</w:t>
      </w:r>
      <w:r w:rsidR="00F35642">
        <w:rPr>
          <w:rFonts w:cstheme="minorHAnsi"/>
        </w:rPr>
        <w:t xml:space="preserve"> dall’estero</w:t>
      </w:r>
      <w:r w:rsidR="00FE4E86">
        <w:rPr>
          <w:rFonts w:cstheme="minorHAnsi"/>
        </w:rPr>
        <w:t xml:space="preserve"> – e </w:t>
      </w:r>
      <w:r>
        <w:rPr>
          <w:rFonts w:cstheme="minorHAnsi"/>
        </w:rPr>
        <w:t>la formula “più lavori, più ti pago”</w:t>
      </w:r>
      <w:r w:rsidR="00FE4E86">
        <w:rPr>
          <w:rFonts w:cstheme="minorHAnsi"/>
        </w:rPr>
        <w:t xml:space="preserve">, pur defiscalizzata, </w:t>
      </w:r>
      <w:r w:rsidR="00B125BD">
        <w:rPr>
          <w:rFonts w:cstheme="minorHAnsi"/>
        </w:rPr>
        <w:t>appare difficilmente sostenibile</w:t>
      </w:r>
      <w:r w:rsidR="00BB3981">
        <w:rPr>
          <w:rFonts w:cstheme="minorHAnsi"/>
        </w:rPr>
        <w:t xml:space="preserve"> </w:t>
      </w:r>
      <w:r w:rsidR="00FE4E86">
        <w:rPr>
          <w:rFonts w:cstheme="minorHAnsi"/>
        </w:rPr>
        <w:t xml:space="preserve">in un contesto di </w:t>
      </w:r>
      <w:proofErr w:type="spellStart"/>
      <w:r w:rsidR="00FE4E86">
        <w:rPr>
          <w:rFonts w:cstheme="minorHAnsi"/>
        </w:rPr>
        <w:t>burnout</w:t>
      </w:r>
      <w:proofErr w:type="spellEnd"/>
      <w:r w:rsidR="00BB3981">
        <w:rPr>
          <w:rFonts w:cstheme="minorHAnsi"/>
        </w:rPr>
        <w:t xml:space="preserve"> diffuso</w:t>
      </w:r>
      <w:r w:rsidR="00FE4E86">
        <w:rPr>
          <w:rFonts w:cstheme="minorHAnsi"/>
        </w:rPr>
        <w:t xml:space="preserve">. </w:t>
      </w:r>
      <w:r>
        <w:rPr>
          <w:rFonts w:cstheme="minorHAnsi"/>
        </w:rPr>
        <w:t xml:space="preserve">Nonostante la sanità pubblica </w:t>
      </w:r>
      <w:r w:rsidR="00FE4E86">
        <w:rPr>
          <w:rFonts w:cstheme="minorHAnsi"/>
        </w:rPr>
        <w:t xml:space="preserve">rappresenti </w:t>
      </w:r>
      <w:r>
        <w:rPr>
          <w:rFonts w:cstheme="minorHAnsi"/>
        </w:rPr>
        <w:t xml:space="preserve">oggi la vera emergenza del Paese, le scelte politiche </w:t>
      </w:r>
      <w:r w:rsidR="00DB09B1">
        <w:rPr>
          <w:rFonts w:cstheme="minorHAnsi"/>
        </w:rPr>
        <w:t xml:space="preserve">appaiono </w:t>
      </w:r>
      <w:r>
        <w:rPr>
          <w:rFonts w:cstheme="minorHAnsi"/>
        </w:rPr>
        <w:t xml:space="preserve">in </w:t>
      </w:r>
      <w:r w:rsidR="00DB09B1">
        <w:rPr>
          <w:rFonts w:cstheme="minorHAnsi"/>
        </w:rPr>
        <w:t xml:space="preserve">continuità </w:t>
      </w:r>
      <w:r>
        <w:rPr>
          <w:rFonts w:cstheme="minorHAnsi"/>
        </w:rPr>
        <w:t>con quelle degli ultimi 15 anni</w:t>
      </w:r>
      <w:r w:rsidR="00B125BD">
        <w:rPr>
          <w:rFonts w:cstheme="minorHAnsi"/>
        </w:rPr>
        <w:t xml:space="preserve">. Anni in cui </w:t>
      </w:r>
      <w:r>
        <w:rPr>
          <w:rFonts w:cstheme="minorHAnsi"/>
        </w:rPr>
        <w:t xml:space="preserve">tutti i Governi hanno </w:t>
      </w:r>
      <w:proofErr w:type="spellStart"/>
      <w:r>
        <w:rPr>
          <w:rFonts w:cstheme="minorHAnsi"/>
        </w:rPr>
        <w:t>definanziato</w:t>
      </w:r>
      <w:proofErr w:type="spellEnd"/>
      <w:r>
        <w:rPr>
          <w:rFonts w:cstheme="minorHAnsi"/>
        </w:rPr>
        <w:t xml:space="preserve"> il SSN e nessuno </w:t>
      </w:r>
      <w:r w:rsidR="00DB09B1">
        <w:rPr>
          <w:rFonts w:cstheme="minorHAnsi"/>
        </w:rPr>
        <w:t>ha avviato un piano strutturale di rilancio</w:t>
      </w:r>
      <w:r>
        <w:rPr>
          <w:rFonts w:cstheme="minorHAnsi"/>
        </w:rPr>
        <w:t xml:space="preserve"> del finanziamento pubblico, accompagnato da una coraggiosa stagione di riforme per ammodernare e riorganizzare la più grande opera pubblica mai costruita in Italia</w:t>
      </w:r>
      <w:r w:rsidR="00DB09B1">
        <w:rPr>
          <w:rFonts w:cstheme="minorHAnsi"/>
        </w:rPr>
        <w:t>:</w:t>
      </w:r>
      <w:r w:rsidRPr="00F3522E">
        <w:rPr>
          <w:rFonts w:cstheme="minorHAnsi"/>
        </w:rPr>
        <w:t xml:space="preserve"> </w:t>
      </w:r>
      <w:r>
        <w:rPr>
          <w:rFonts w:cstheme="minorHAnsi"/>
        </w:rPr>
        <w:t>quel S</w:t>
      </w:r>
      <w:r w:rsidR="00DB09B1">
        <w:rPr>
          <w:rFonts w:cstheme="minorHAnsi"/>
        </w:rPr>
        <w:t xml:space="preserve">ervizio </w:t>
      </w:r>
      <w:r>
        <w:rPr>
          <w:rFonts w:cstheme="minorHAnsi"/>
        </w:rPr>
        <w:t>S</w:t>
      </w:r>
      <w:r w:rsidR="00DB09B1">
        <w:rPr>
          <w:rFonts w:cstheme="minorHAnsi"/>
        </w:rPr>
        <w:t xml:space="preserve">anitario </w:t>
      </w:r>
      <w:r>
        <w:rPr>
          <w:rFonts w:cstheme="minorHAnsi"/>
        </w:rPr>
        <w:t>N</w:t>
      </w:r>
      <w:r w:rsidR="00DB09B1">
        <w:rPr>
          <w:rFonts w:cstheme="minorHAnsi"/>
        </w:rPr>
        <w:t>azionale</w:t>
      </w:r>
      <w:r>
        <w:rPr>
          <w:rFonts w:cstheme="minorHAnsi"/>
        </w:rPr>
        <w:t xml:space="preserve"> istituito per tutelare la salute di tutte le per</w:t>
      </w:r>
      <w:r w:rsidRPr="00A17436">
        <w:rPr>
          <w:rFonts w:cstheme="minorHAnsi"/>
        </w:rPr>
        <w:t xml:space="preserve">sone. </w:t>
      </w:r>
      <w:r w:rsidR="00DB09B1" w:rsidRPr="00A17436">
        <w:rPr>
          <w:rFonts w:cstheme="minorHAnsi"/>
        </w:rPr>
        <w:t xml:space="preserve">Un dato resta difficile da accettare: </w:t>
      </w:r>
      <w:r w:rsidR="0084638C">
        <w:rPr>
          <w:rFonts w:cstheme="minorHAnsi"/>
        </w:rPr>
        <w:t xml:space="preserve">la </w:t>
      </w:r>
      <w:r w:rsidR="0084638C" w:rsidRPr="0084638C">
        <w:rPr>
          <w:rFonts w:cstheme="minorHAnsi"/>
        </w:rPr>
        <w:t>capacità</w:t>
      </w:r>
      <w:r w:rsidR="0084638C">
        <w:rPr>
          <w:rFonts w:cstheme="minorHAnsi"/>
        </w:rPr>
        <w:t xml:space="preserve"> del Governo</w:t>
      </w:r>
      <w:r w:rsidR="0084638C" w:rsidRPr="0084638C">
        <w:rPr>
          <w:rFonts w:cstheme="minorHAnsi"/>
        </w:rPr>
        <w:t xml:space="preserve"> di </w:t>
      </w:r>
      <w:r w:rsidR="004B4B2F">
        <w:rPr>
          <w:rFonts w:cstheme="minorHAnsi"/>
        </w:rPr>
        <w:t xml:space="preserve">trovare le </w:t>
      </w:r>
      <w:r w:rsidR="0084638C" w:rsidRPr="0084638C">
        <w:rPr>
          <w:rFonts w:cstheme="minorHAnsi"/>
        </w:rPr>
        <w:t>risorse per altri settori</w:t>
      </w:r>
      <w:r w:rsidR="004B4B2F">
        <w:rPr>
          <w:rFonts w:cstheme="minorHAnsi"/>
        </w:rPr>
        <w:t xml:space="preserve"> strategici</w:t>
      </w:r>
      <w:r w:rsidR="0084638C">
        <w:rPr>
          <w:rFonts w:cstheme="minorHAnsi"/>
        </w:rPr>
        <w:t>,</w:t>
      </w:r>
      <w:r w:rsidR="0084638C" w:rsidRPr="0084638C">
        <w:rPr>
          <w:rFonts w:cstheme="minorHAnsi"/>
        </w:rPr>
        <w:t xml:space="preserve"> </w:t>
      </w:r>
      <w:r w:rsidR="0084638C">
        <w:rPr>
          <w:rFonts w:cstheme="minorHAnsi"/>
        </w:rPr>
        <w:t xml:space="preserve">come la difesa, </w:t>
      </w:r>
      <w:r w:rsidR="0084638C" w:rsidRPr="0084638C">
        <w:rPr>
          <w:rFonts w:cstheme="minorHAnsi"/>
        </w:rPr>
        <w:t>non trova un corrispettivo impegno nel rafforzamento del</w:t>
      </w:r>
      <w:r w:rsidR="004B4B2F">
        <w:rPr>
          <w:rFonts w:cstheme="minorHAnsi"/>
        </w:rPr>
        <w:t xml:space="preserve"> SSN, pilastro della nostra democrazia, strumento di </w:t>
      </w:r>
      <w:r w:rsidR="0084638C" w:rsidRPr="0084638C">
        <w:rPr>
          <w:rFonts w:cstheme="minorHAnsi"/>
        </w:rPr>
        <w:t>coesione sociale</w:t>
      </w:r>
      <w:r w:rsidR="004B4B2F">
        <w:rPr>
          <w:rFonts w:cstheme="minorHAnsi"/>
        </w:rPr>
        <w:t xml:space="preserve"> e leva di sviluppo economico del Paese</w:t>
      </w:r>
      <w:r w:rsidRPr="00A17436">
        <w:rPr>
          <w:rFonts w:cstheme="minorHAnsi"/>
        </w:rPr>
        <w:t>».</w:t>
      </w:r>
      <w:r>
        <w:rPr>
          <w:rFonts w:cstheme="minorHAnsi"/>
        </w:rPr>
        <w:t xml:space="preserve"> </w:t>
      </w:r>
    </w:p>
    <w:p w14:paraId="786CFCD4" w14:textId="7E2AF64B" w:rsidR="005B3E88" w:rsidRDefault="005B3E88" w:rsidP="005D18F5">
      <w:pPr>
        <w:spacing w:after="0"/>
        <w:rPr>
          <w:rStyle w:val="Collegamentoipertestuale"/>
          <w:rFonts w:eastAsia="Calibri" w:cstheme="minorHAnsi"/>
        </w:rPr>
      </w:pPr>
    </w:p>
    <w:p w14:paraId="1B9D85AE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051E331D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729B9D46" w14:textId="77777777" w:rsidR="00472CFC" w:rsidRDefault="00DC2A0C" w:rsidP="00F60D04">
      <w:pPr>
        <w:spacing w:after="0"/>
        <w:rPr>
          <w:rStyle w:val="Collegamentoipertestuale"/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8" w:history="1">
        <w:r w:rsidR="004E472B"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p w14:paraId="56ED7A0B" w14:textId="77777777" w:rsidR="00F60D04" w:rsidRDefault="00F60D04" w:rsidP="00F60D04">
      <w:pPr>
        <w:spacing w:after="0"/>
        <w:rPr>
          <w:rStyle w:val="Collegamentoipertestuale"/>
          <w:rFonts w:eastAsia="Calibri" w:cstheme="minorHAnsi"/>
        </w:rPr>
      </w:pPr>
    </w:p>
    <w:p w14:paraId="282AACB6" w14:textId="08308F86" w:rsidR="00732468" w:rsidRDefault="00732468" w:rsidP="00F60D04">
      <w:pPr>
        <w:spacing w:after="0"/>
        <w:rPr>
          <w:rStyle w:val="Collegamentoipertestuale"/>
          <w:rFonts w:eastAsia="Calibri" w:cstheme="minorHAnsi"/>
        </w:rPr>
      </w:pPr>
    </w:p>
    <w:p w14:paraId="17030219" w14:textId="66F31723" w:rsidR="00732468" w:rsidRDefault="00732468" w:rsidP="00F60D04">
      <w:pPr>
        <w:spacing w:after="0"/>
        <w:rPr>
          <w:rStyle w:val="Collegamentoipertestuale"/>
          <w:rFonts w:eastAsia="Calibri" w:cstheme="minorHAnsi"/>
        </w:rPr>
      </w:pPr>
    </w:p>
    <w:p w14:paraId="16CB8CCF" w14:textId="19E594AD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17858286" w14:textId="77ED01B4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5A674AFA" w14:textId="47B44AF0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7B02B8AA" w14:textId="77777777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0F820190" w14:textId="77777777" w:rsidR="001C71B6" w:rsidRDefault="001C71B6">
      <w:pPr>
        <w:rPr>
          <w:rFonts w:eastAsia="Calibri" w:cstheme="minorHAnsi"/>
          <w:b/>
          <w:bCs/>
          <w:color w:val="00457D"/>
          <w:sz w:val="24"/>
          <w:szCs w:val="24"/>
        </w:rPr>
      </w:pPr>
      <w:r>
        <w:rPr>
          <w:rFonts w:eastAsia="Calibri" w:cstheme="minorHAnsi"/>
          <w:b/>
          <w:bCs/>
          <w:color w:val="00457D"/>
          <w:sz w:val="24"/>
          <w:szCs w:val="24"/>
        </w:rPr>
        <w:br w:type="page"/>
      </w:r>
    </w:p>
    <w:p w14:paraId="744C074D" w14:textId="77777777" w:rsidR="001C71B6" w:rsidRDefault="001C71B6" w:rsidP="00C7306D">
      <w:pPr>
        <w:spacing w:after="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669405C4" w14:textId="7AE85684" w:rsidR="001574B2" w:rsidRPr="00674190" w:rsidRDefault="001574B2" w:rsidP="001574B2">
      <w:pPr>
        <w:spacing w:after="120"/>
        <w:jc w:val="center"/>
        <w:rPr>
          <w:rFonts w:eastAsia="Calibri" w:cstheme="minorHAnsi"/>
          <w:color w:val="00457D"/>
          <w:sz w:val="24"/>
          <w:szCs w:val="24"/>
        </w:rPr>
      </w:pPr>
      <w:r w:rsidRPr="00DA54E1">
        <w:rPr>
          <w:rFonts w:eastAsia="Calibri" w:cstheme="minorHAnsi"/>
          <w:b/>
          <w:bCs/>
          <w:color w:val="00457D"/>
          <w:sz w:val="24"/>
          <w:szCs w:val="24"/>
        </w:rPr>
        <w:t xml:space="preserve">Tabella 1. Rideterminazione 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del 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Fabbisogno Sanitario Nazionale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 </w:t>
      </w:r>
    </w:p>
    <w:tbl>
      <w:tblPr>
        <w:tblW w:w="386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7"/>
        <w:gridCol w:w="1069"/>
        <w:gridCol w:w="1070"/>
        <w:gridCol w:w="1069"/>
        <w:gridCol w:w="1069"/>
      </w:tblGrid>
      <w:tr w:rsidR="001574B2" w:rsidRPr="00941E2E" w14:paraId="224219AA" w14:textId="77777777" w:rsidTr="00045693">
        <w:trPr>
          <w:trHeight w:val="293"/>
          <w:jc w:val="center"/>
        </w:trPr>
        <w:tc>
          <w:tcPr>
            <w:tcW w:w="2127" w:type="pct"/>
            <w:tcBorders>
              <w:top w:val="single" w:sz="8" w:space="0" w:color="00457D"/>
              <w:left w:val="single" w:sz="4" w:space="0" w:color="00457D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57AE301B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</w:tcPr>
          <w:p w14:paraId="507857F8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5</w:t>
            </w:r>
          </w:p>
        </w:tc>
        <w:tc>
          <w:tcPr>
            <w:tcW w:w="719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</w:tcPr>
          <w:p w14:paraId="33D3AEF8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2026</w:t>
            </w:r>
          </w:p>
        </w:tc>
        <w:tc>
          <w:tcPr>
            <w:tcW w:w="718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5AEC2CD2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2027</w:t>
            </w:r>
          </w:p>
        </w:tc>
        <w:tc>
          <w:tcPr>
            <w:tcW w:w="719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00457D"/>
            <w:noWrap/>
            <w:vAlign w:val="center"/>
          </w:tcPr>
          <w:p w14:paraId="31804E21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2028</w:t>
            </w:r>
          </w:p>
        </w:tc>
      </w:tr>
      <w:tr w:rsidR="001574B2" w:rsidRPr="00941E2E" w14:paraId="49592F01" w14:textId="77777777" w:rsidTr="00045693">
        <w:trPr>
          <w:trHeight w:val="293"/>
          <w:jc w:val="center"/>
        </w:trPr>
        <w:tc>
          <w:tcPr>
            <w:tcW w:w="2127" w:type="pct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noWrap/>
            <w:vAlign w:val="center"/>
            <w:hideMark/>
          </w:tcPr>
          <w:p w14:paraId="5CDF41C8" w14:textId="77777777" w:rsidR="001574B2" w:rsidRPr="00941E2E" w:rsidRDefault="001574B2" w:rsidP="00045693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Legge di Bilancio 202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7BEB8A3E" w14:textId="77777777" w:rsidR="001574B2" w:rsidRPr="00941E2E" w:rsidRDefault="001574B2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136.533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16235EA4" w14:textId="77777777" w:rsidR="001574B2" w:rsidRPr="00941E2E" w:rsidRDefault="001574B2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143.098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65F285A1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144.093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23FD5957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144.960</w:t>
            </w:r>
          </w:p>
        </w:tc>
      </w:tr>
      <w:tr w:rsidR="001574B2" w:rsidRPr="00941E2E" w14:paraId="6DB5E81E" w14:textId="77777777" w:rsidTr="00045693">
        <w:trPr>
          <w:trHeight w:val="293"/>
          <w:jc w:val="center"/>
        </w:trPr>
        <w:tc>
          <w:tcPr>
            <w:tcW w:w="2127" w:type="pct"/>
            <w:vMerge w:val="restart"/>
            <w:tcBorders>
              <w:top w:val="nil"/>
              <w:left w:val="single" w:sz="8" w:space="0" w:color="00457D"/>
              <w:right w:val="single" w:sz="8" w:space="0" w:color="00457D"/>
            </w:tcBorders>
            <w:noWrap/>
            <w:vAlign w:val="center"/>
          </w:tcPr>
          <w:p w14:paraId="7D6D0F61" w14:textId="77777777" w:rsidR="001574B2" w:rsidRPr="00941E2E" w:rsidRDefault="001574B2" w:rsidP="00045693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Incremento</w:t>
            </w: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vs anno precedente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5BF3EA28" w14:textId="77777777" w:rsidR="001574B2" w:rsidRDefault="001574B2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376AEC5B" w14:textId="7F8CD0D2" w:rsidR="001574B2" w:rsidRPr="000B6DD0" w:rsidRDefault="001574B2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6.56</w:t>
            </w:r>
            <w:r w:rsidR="00C6481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1BFA2126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995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65D66A39" w14:textId="5D25B351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  <w:r w:rsidR="00C64814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1574B2" w:rsidRPr="00941E2E" w14:paraId="274AF67A" w14:textId="77777777" w:rsidTr="00045693">
        <w:trPr>
          <w:trHeight w:val="293"/>
          <w:jc w:val="center"/>
        </w:trPr>
        <w:tc>
          <w:tcPr>
            <w:tcW w:w="2127" w:type="pct"/>
            <w:vMerge/>
            <w:tcBorders>
              <w:left w:val="single" w:sz="8" w:space="0" w:color="00457D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7696B7D0" w14:textId="77777777" w:rsidR="001574B2" w:rsidRPr="00941E2E" w:rsidRDefault="001574B2" w:rsidP="00045693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0F169C94" w14:textId="77777777" w:rsidR="001574B2" w:rsidRDefault="001574B2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71819089" w14:textId="415D0820" w:rsidR="001574B2" w:rsidRPr="000B6DD0" w:rsidRDefault="00C64814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1574B2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</w:t>
            </w:r>
            <w:r w:rsidR="001574B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1292CF82" w14:textId="06BF8E01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C64814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252F6BE5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0,6%</w:t>
            </w:r>
          </w:p>
        </w:tc>
      </w:tr>
      <w:tr w:rsidR="001574B2" w:rsidRPr="001574B2" w14:paraId="4C555FB1" w14:textId="77777777" w:rsidTr="00045693">
        <w:trPr>
          <w:trHeight w:val="283"/>
          <w:jc w:val="center"/>
        </w:trPr>
        <w:tc>
          <w:tcPr>
            <w:tcW w:w="5000" w:type="pct"/>
            <w:gridSpan w:val="5"/>
            <w:tcBorders>
              <w:top w:val="single" w:sz="4" w:space="0" w:color="00457D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01DE6856" w14:textId="77777777" w:rsidR="001574B2" w:rsidRPr="001574B2" w:rsidRDefault="001574B2" w:rsidP="00045693">
            <w:pPr>
              <w:spacing w:after="0"/>
              <w:rPr>
                <w:sz w:val="18"/>
                <w:szCs w:val="18"/>
              </w:rPr>
            </w:pPr>
            <w:r w:rsidRPr="001574B2">
              <w:rPr>
                <w:sz w:val="18"/>
                <w:szCs w:val="18"/>
              </w:rPr>
              <w:t>Dati in milioni di euro</w:t>
            </w:r>
          </w:p>
        </w:tc>
      </w:tr>
    </w:tbl>
    <w:p w14:paraId="2BAB52CB" w14:textId="77777777" w:rsidR="001574B2" w:rsidRDefault="001574B2" w:rsidP="00C7306D">
      <w:pPr>
        <w:spacing w:after="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1C2DE029" w14:textId="71537B71" w:rsidR="0039730F" w:rsidRDefault="00F60D04" w:rsidP="00B10C9A">
      <w:pPr>
        <w:spacing w:after="0" w:line="360" w:lineRule="auto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Figura 1</w:t>
      </w:r>
      <w:r w:rsidR="00DA54E1" w:rsidRPr="00DA54E1">
        <w:rPr>
          <w:rFonts w:eastAsia="Calibri" w:cstheme="minorHAnsi"/>
          <w:b/>
          <w:bCs/>
          <w:color w:val="00457D"/>
          <w:sz w:val="24"/>
          <w:szCs w:val="24"/>
        </w:rPr>
        <w:t>. Fabbisogno Sanitario Nazionale: trend 2010-20</w:t>
      </w:r>
      <w:r w:rsidR="001574B2">
        <w:rPr>
          <w:rFonts w:eastAsia="Calibri" w:cstheme="minorHAnsi"/>
          <w:b/>
          <w:bCs/>
          <w:color w:val="00457D"/>
          <w:sz w:val="24"/>
          <w:szCs w:val="24"/>
        </w:rPr>
        <w:t>28</w:t>
      </w:r>
    </w:p>
    <w:p w14:paraId="0772B50B" w14:textId="30CF1CA0" w:rsidR="001574B2" w:rsidRDefault="001574B2" w:rsidP="00C7306D">
      <w:pPr>
        <w:spacing w:after="0"/>
        <w:jc w:val="center"/>
        <w:rPr>
          <w:rFonts w:eastAsia="Calibri" w:cstheme="minorHAnsi"/>
          <w:b/>
          <w:bCs/>
          <w:color w:val="00457D"/>
        </w:rPr>
      </w:pPr>
      <w:r>
        <w:rPr>
          <w:rFonts w:eastAsia="Calibri" w:cstheme="minorHAnsi"/>
          <w:b/>
          <w:bCs/>
          <w:noProof/>
          <w:color w:val="00457D"/>
          <w:lang w:eastAsia="it-IT"/>
        </w:rPr>
        <w:drawing>
          <wp:inline distT="0" distB="0" distL="0" distR="0" wp14:anchorId="7DEF7A7C" wp14:editId="53FC885A">
            <wp:extent cx="5400000" cy="3050485"/>
            <wp:effectExtent l="0" t="0" r="0" b="0"/>
            <wp:docPr id="87833687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5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E1D34" w14:textId="7857B1CA" w:rsidR="00C7306D" w:rsidRDefault="00C7306D" w:rsidP="00C7306D">
      <w:pPr>
        <w:spacing w:after="0"/>
        <w:jc w:val="center"/>
        <w:rPr>
          <w:rFonts w:eastAsia="Calibri" w:cstheme="minorHAnsi"/>
          <w:b/>
          <w:bCs/>
          <w:color w:val="00457D"/>
        </w:rPr>
      </w:pPr>
    </w:p>
    <w:p w14:paraId="70800A81" w14:textId="1574C141" w:rsidR="001574B2" w:rsidRDefault="001574B2" w:rsidP="00B10C9A">
      <w:pPr>
        <w:spacing w:after="0" w:line="360" w:lineRule="auto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  <w:r w:rsidRPr="00DA54E1">
        <w:rPr>
          <w:rFonts w:eastAsia="Calibri" w:cstheme="minorHAnsi"/>
          <w:b/>
          <w:bCs/>
          <w:color w:val="00457D"/>
          <w:sz w:val="24"/>
          <w:szCs w:val="24"/>
        </w:rPr>
        <w:t xml:space="preserve">Figura </w:t>
      </w:r>
      <w:r>
        <w:rPr>
          <w:rFonts w:eastAsia="Calibri" w:cstheme="minorHAnsi"/>
          <w:b/>
          <w:bCs/>
          <w:color w:val="00457D"/>
          <w:sz w:val="24"/>
          <w:szCs w:val="24"/>
        </w:rPr>
        <w:t>2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. Fabbisogno Sanitario Nazionale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 in % sul PIL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: trend 2010-20</w:t>
      </w:r>
      <w:r>
        <w:rPr>
          <w:rFonts w:eastAsia="Calibri" w:cstheme="minorHAnsi"/>
          <w:b/>
          <w:bCs/>
          <w:color w:val="00457D"/>
          <w:sz w:val="24"/>
          <w:szCs w:val="24"/>
        </w:rPr>
        <w:t>28</w:t>
      </w:r>
    </w:p>
    <w:p w14:paraId="4DB00202" w14:textId="12C45C9C" w:rsidR="001574B2" w:rsidRPr="00CA2619" w:rsidRDefault="001574B2" w:rsidP="00CA2619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  <w:r>
        <w:rPr>
          <w:rFonts w:eastAsia="Calibri" w:cstheme="minorHAnsi"/>
          <w:b/>
          <w:bCs/>
          <w:noProof/>
          <w:color w:val="00457D"/>
          <w:sz w:val="24"/>
          <w:szCs w:val="24"/>
          <w:lang w:eastAsia="it-IT"/>
        </w:rPr>
        <w:drawing>
          <wp:inline distT="0" distB="0" distL="0" distR="0" wp14:anchorId="21A9BA79" wp14:editId="38ACB084">
            <wp:extent cx="5400000" cy="3003600"/>
            <wp:effectExtent l="0" t="0" r="0" b="6350"/>
            <wp:docPr id="46231498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0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349B9" w14:textId="77777777" w:rsidR="00F60D04" w:rsidRDefault="00F60D04" w:rsidP="00C7306D">
      <w:pPr>
        <w:spacing w:after="0"/>
        <w:rPr>
          <w:rFonts w:eastAsia="Calibri" w:cstheme="minorHAnsi"/>
          <w:b/>
          <w:bCs/>
          <w:color w:val="00457D"/>
          <w:sz w:val="16"/>
          <w:szCs w:val="16"/>
        </w:rPr>
      </w:pPr>
    </w:p>
    <w:p w14:paraId="60317790" w14:textId="77777777" w:rsidR="001574B2" w:rsidRDefault="001574B2" w:rsidP="00C7306D">
      <w:pPr>
        <w:spacing w:after="0"/>
        <w:rPr>
          <w:rFonts w:eastAsia="Calibri" w:cstheme="minorHAnsi"/>
          <w:b/>
          <w:bCs/>
          <w:color w:val="00457D"/>
          <w:sz w:val="16"/>
          <w:szCs w:val="16"/>
        </w:rPr>
      </w:pPr>
    </w:p>
    <w:p w14:paraId="3B761F0F" w14:textId="2FB24B60" w:rsidR="00B10C9A" w:rsidRDefault="00B10C9A">
      <w:pPr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71E350DC" w14:textId="1166B8ED" w:rsidR="00B10C9A" w:rsidRPr="00470A8F" w:rsidRDefault="00B10C9A" w:rsidP="00B10C9A">
      <w:pPr>
        <w:spacing w:line="240" w:lineRule="auto"/>
        <w:jc w:val="center"/>
        <w:rPr>
          <w:rFonts w:eastAsia="Calibri" w:cstheme="minorHAnsi"/>
          <w:color w:val="00457D"/>
          <w:sz w:val="24"/>
          <w:szCs w:val="24"/>
        </w:rPr>
      </w:pPr>
      <w:r w:rsidRPr="00DA54E1">
        <w:rPr>
          <w:rFonts w:eastAsia="Calibri" w:cstheme="minorHAnsi"/>
          <w:b/>
          <w:bCs/>
          <w:color w:val="00457D"/>
          <w:sz w:val="24"/>
          <w:szCs w:val="24"/>
        </w:rPr>
        <w:lastRenderedPageBreak/>
        <w:t xml:space="preserve">Figura </w:t>
      </w:r>
      <w:r>
        <w:rPr>
          <w:rFonts w:eastAsia="Calibri" w:cstheme="minorHAnsi"/>
          <w:b/>
          <w:bCs/>
          <w:color w:val="00457D"/>
          <w:sz w:val="24"/>
          <w:szCs w:val="24"/>
        </w:rPr>
        <w:t>3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 xml:space="preserve">. 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GAP tra 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Fabbisogno Sanitario Nazionale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 e previsioni di spesa 2026-2028</w:t>
      </w:r>
      <w:r>
        <w:rPr>
          <w:rFonts w:eastAsia="Calibri" w:cstheme="minorHAnsi"/>
          <w:b/>
          <w:bCs/>
          <w:color w:val="00457D"/>
          <w:sz w:val="24"/>
          <w:szCs w:val="24"/>
        </w:rPr>
        <w:br/>
      </w:r>
      <w:r w:rsidRPr="00470A8F">
        <w:rPr>
          <w:rFonts w:eastAsia="Calibri" w:cstheme="minorHAnsi"/>
          <w:color w:val="00457D"/>
          <w:sz w:val="24"/>
          <w:szCs w:val="24"/>
        </w:rPr>
        <w:t xml:space="preserve">(dati da </w:t>
      </w:r>
      <w:proofErr w:type="spellStart"/>
      <w:r w:rsidRPr="00470A8F">
        <w:rPr>
          <w:rFonts w:eastAsia="Calibri" w:cstheme="minorHAnsi"/>
          <w:color w:val="00457D"/>
          <w:sz w:val="24"/>
          <w:szCs w:val="24"/>
        </w:rPr>
        <w:t>DdL</w:t>
      </w:r>
      <w:proofErr w:type="spellEnd"/>
      <w:r w:rsidRPr="00470A8F">
        <w:rPr>
          <w:rFonts w:eastAsia="Calibri" w:cstheme="minorHAnsi"/>
          <w:color w:val="00457D"/>
          <w:sz w:val="24"/>
          <w:szCs w:val="24"/>
        </w:rPr>
        <w:t xml:space="preserve"> Bilancio 2026 e DPFP 2025)</w:t>
      </w:r>
    </w:p>
    <w:p w14:paraId="57275C82" w14:textId="67067DCC" w:rsidR="00B10C9A" w:rsidRDefault="00B10C9A" w:rsidP="00B10C9A">
      <w:pPr>
        <w:spacing w:after="0"/>
        <w:jc w:val="center"/>
        <w:rPr>
          <w:rFonts w:eastAsia="Calibri" w:cstheme="minorHAnsi"/>
          <w:b/>
          <w:bCs/>
          <w:color w:val="00457D"/>
          <w:sz w:val="16"/>
          <w:szCs w:val="16"/>
        </w:rPr>
      </w:pPr>
      <w:r>
        <w:rPr>
          <w:rFonts w:eastAsia="Calibri" w:cstheme="minorHAnsi"/>
          <w:b/>
          <w:bCs/>
          <w:noProof/>
          <w:color w:val="00457D"/>
          <w:sz w:val="16"/>
          <w:szCs w:val="16"/>
          <w:lang w:eastAsia="it-IT"/>
        </w:rPr>
        <w:drawing>
          <wp:inline distT="0" distB="0" distL="0" distR="0" wp14:anchorId="7DAEA5A8" wp14:editId="6C4CE235">
            <wp:extent cx="5400000" cy="2979765"/>
            <wp:effectExtent l="0" t="0" r="0" b="0"/>
            <wp:docPr id="117297844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97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45E4C" w14:textId="375B5330" w:rsidR="001574B2" w:rsidRDefault="001574B2">
      <w:pPr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79E0F87B" w14:textId="77777777" w:rsidR="000B0095" w:rsidRDefault="000B0095" w:rsidP="000B0095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701BAA9F" w14:textId="77777777" w:rsidR="000B0095" w:rsidRDefault="000B0095">
      <w:pPr>
        <w:rPr>
          <w:rFonts w:eastAsia="Calibri" w:cstheme="minorHAnsi"/>
          <w:b/>
          <w:bCs/>
          <w:color w:val="00457D"/>
          <w:sz w:val="24"/>
          <w:szCs w:val="24"/>
        </w:rPr>
      </w:pPr>
      <w:r>
        <w:rPr>
          <w:rFonts w:eastAsia="Calibri" w:cstheme="minorHAnsi"/>
          <w:b/>
          <w:bCs/>
          <w:color w:val="00457D"/>
          <w:sz w:val="24"/>
          <w:szCs w:val="24"/>
        </w:rPr>
        <w:br w:type="page"/>
      </w:r>
    </w:p>
    <w:p w14:paraId="29B9D3C8" w14:textId="406EEEF0" w:rsidR="000B0095" w:rsidRDefault="000B0095" w:rsidP="000B0095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  <w:r w:rsidRPr="00CA2619">
        <w:rPr>
          <w:rFonts w:eastAsia="Calibri" w:cstheme="minorHAnsi"/>
          <w:b/>
          <w:bCs/>
          <w:color w:val="00457D"/>
          <w:sz w:val="24"/>
          <w:szCs w:val="24"/>
        </w:rPr>
        <w:lastRenderedPageBreak/>
        <w:t xml:space="preserve">Tabella 2. Misure per la sanità previste </w:t>
      </w:r>
      <w:r w:rsidRPr="004A5BA9">
        <w:rPr>
          <w:rFonts w:eastAsia="Calibri" w:cstheme="minorHAnsi"/>
          <w:b/>
          <w:bCs/>
          <w:color w:val="00457D"/>
          <w:sz w:val="24"/>
          <w:szCs w:val="24"/>
        </w:rPr>
        <w:t>dall’art</w:t>
      </w:r>
      <w:r w:rsidRPr="00674190">
        <w:rPr>
          <w:rFonts w:eastAsia="Calibri" w:cstheme="minorHAnsi"/>
          <w:b/>
          <w:bCs/>
          <w:color w:val="00457D"/>
          <w:sz w:val="24"/>
          <w:szCs w:val="24"/>
        </w:rPr>
        <w:t>. 6</w:t>
      </w:r>
      <w:r w:rsidR="00FA28CC">
        <w:rPr>
          <w:rFonts w:eastAsia="Calibri" w:cstheme="minorHAnsi"/>
          <w:b/>
          <w:bCs/>
          <w:color w:val="00457D"/>
          <w:sz w:val="24"/>
          <w:szCs w:val="24"/>
        </w:rPr>
        <w:t>3</w:t>
      </w:r>
      <w:r w:rsidRPr="00674190">
        <w:rPr>
          <w:rFonts w:eastAsia="Calibri" w:cstheme="minorHAnsi"/>
          <w:b/>
          <w:bCs/>
          <w:color w:val="00457D"/>
          <w:sz w:val="24"/>
          <w:szCs w:val="24"/>
        </w:rPr>
        <w:t xml:space="preserve"> </w:t>
      </w:r>
      <w:r w:rsidRPr="004A5BA9">
        <w:rPr>
          <w:rFonts w:eastAsia="Calibri" w:cstheme="minorHAnsi"/>
          <w:b/>
          <w:bCs/>
          <w:color w:val="00457D"/>
          <w:sz w:val="24"/>
          <w:szCs w:val="24"/>
        </w:rPr>
        <w:t xml:space="preserve">del </w:t>
      </w:r>
      <w:proofErr w:type="spellStart"/>
      <w:r w:rsidRPr="004A5BA9">
        <w:rPr>
          <w:rFonts w:eastAsia="Calibri" w:cstheme="minorHAnsi"/>
          <w:b/>
          <w:bCs/>
          <w:color w:val="00457D"/>
          <w:sz w:val="24"/>
          <w:szCs w:val="24"/>
        </w:rPr>
        <w:t>DdL</w:t>
      </w:r>
      <w:proofErr w:type="spellEnd"/>
      <w:r w:rsidRPr="004A5BA9">
        <w:rPr>
          <w:rFonts w:eastAsia="Calibri" w:cstheme="minorHAnsi"/>
          <w:b/>
          <w:bCs/>
          <w:color w:val="00457D"/>
          <w:sz w:val="24"/>
          <w:szCs w:val="24"/>
        </w:rPr>
        <w:t xml:space="preserve"> della Manovra 2026</w:t>
      </w:r>
    </w:p>
    <w:tbl>
      <w:tblPr>
        <w:tblStyle w:val="Grigliatabella2"/>
        <w:tblW w:w="9813" w:type="dxa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ook w:val="04A0" w:firstRow="1" w:lastRow="0" w:firstColumn="1" w:lastColumn="0" w:noHBand="0" w:noVBand="1"/>
      </w:tblPr>
      <w:tblGrid>
        <w:gridCol w:w="6799"/>
        <w:gridCol w:w="992"/>
        <w:gridCol w:w="993"/>
        <w:gridCol w:w="1029"/>
      </w:tblGrid>
      <w:tr w:rsidR="000B0095" w:rsidRPr="00AD476B" w14:paraId="0A02E7EC" w14:textId="77777777" w:rsidTr="000C7EF3">
        <w:trPr>
          <w:trHeight w:val="380"/>
        </w:trPr>
        <w:tc>
          <w:tcPr>
            <w:tcW w:w="6799" w:type="dxa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58FE584D" w14:textId="4686BCCE" w:rsidR="000B0095" w:rsidRPr="00AD476B" w:rsidRDefault="000B0095" w:rsidP="00FA28CC">
            <w:pPr>
              <w:suppressAutoHyphens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Rifinanziamento del Servizio Sanitario Nazionale </w:t>
            </w:r>
            <w:r w:rsidRPr="00AD476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  <w:r w:rsidRPr="00AD476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308E681A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623C770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2027</w:t>
            </w:r>
          </w:p>
        </w:tc>
        <w:tc>
          <w:tcPr>
            <w:tcW w:w="102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457D"/>
            <w:vAlign w:val="center"/>
          </w:tcPr>
          <w:p w14:paraId="44AF094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2028</w:t>
            </w:r>
          </w:p>
        </w:tc>
      </w:tr>
      <w:tr w:rsidR="000B0095" w:rsidRPr="00AD476B" w14:paraId="4BE018F3" w14:textId="77777777" w:rsidTr="000C7EF3">
        <w:trPr>
          <w:trHeight w:val="380"/>
        </w:trPr>
        <w:tc>
          <w:tcPr>
            <w:tcW w:w="6799" w:type="dxa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2C87EC07" w14:textId="77777777" w:rsidR="000B0095" w:rsidRPr="00AD476B" w:rsidRDefault="000B0095" w:rsidP="00A401BE">
            <w:pPr>
              <w:suppressAutoHyphens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75769138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€ 2.400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60AE18E3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€ 2.650</w:t>
            </w:r>
          </w:p>
        </w:tc>
        <w:tc>
          <w:tcPr>
            <w:tcW w:w="102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457D"/>
            <w:vAlign w:val="center"/>
          </w:tcPr>
          <w:p w14:paraId="11FDACEF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€ 2.650</w:t>
            </w:r>
          </w:p>
        </w:tc>
      </w:tr>
      <w:tr w:rsidR="000B0095" w:rsidRPr="00AD476B" w14:paraId="4543984A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6F2A1118" w14:textId="16C291EF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Alzheimer e altre patologie di demenza senile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 6</w:t>
            </w:r>
            <w:r w:rsidR="00FA28CC">
              <w:rPr>
                <w:rFonts w:cstheme="minorHAnsi"/>
                <w:bCs/>
                <w:sz w:val="20"/>
                <w:szCs w:val="20"/>
              </w:rPr>
              <w:t>3</w:t>
            </w:r>
            <w:r w:rsidRPr="000C7EF3">
              <w:rPr>
                <w:rFonts w:cstheme="minorHAnsi"/>
                <w:bCs/>
                <w:sz w:val="20"/>
                <w:szCs w:val="20"/>
              </w:rPr>
              <w:t>. c 2)</w:t>
            </w:r>
          </w:p>
        </w:tc>
        <w:tc>
          <w:tcPr>
            <w:tcW w:w="992" w:type="dxa"/>
            <w:vAlign w:val="center"/>
          </w:tcPr>
          <w:p w14:paraId="3BDEB85C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  <w:tc>
          <w:tcPr>
            <w:tcW w:w="993" w:type="dxa"/>
            <w:vAlign w:val="center"/>
          </w:tcPr>
          <w:p w14:paraId="6A5377F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  <w:tc>
          <w:tcPr>
            <w:tcW w:w="1029" w:type="dxa"/>
            <w:vAlign w:val="center"/>
          </w:tcPr>
          <w:p w14:paraId="1F2E10B4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</w:tr>
      <w:tr w:rsidR="000B0095" w:rsidRPr="00AD476B" w14:paraId="4BA13E5C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D3632FD" w14:textId="61A86E13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Obiettivi sanitari di carattere prioritario e di rilievo nazionale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 6</w:t>
            </w:r>
            <w:r w:rsidR="00FA28CC">
              <w:rPr>
                <w:rFonts w:cstheme="minorHAnsi"/>
                <w:bCs/>
                <w:sz w:val="20"/>
                <w:szCs w:val="20"/>
              </w:rPr>
              <w:t>3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5)</w:t>
            </w:r>
          </w:p>
        </w:tc>
        <w:tc>
          <w:tcPr>
            <w:tcW w:w="992" w:type="dxa"/>
            <w:vAlign w:val="center"/>
          </w:tcPr>
          <w:p w14:paraId="334EE12A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€ 206</w:t>
            </w:r>
          </w:p>
        </w:tc>
        <w:tc>
          <w:tcPr>
            <w:tcW w:w="993" w:type="dxa"/>
            <w:vAlign w:val="center"/>
          </w:tcPr>
          <w:p w14:paraId="7420C62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€ 17</w:t>
            </w:r>
          </w:p>
        </w:tc>
        <w:tc>
          <w:tcPr>
            <w:tcW w:w="1029" w:type="dxa"/>
            <w:vAlign w:val="center"/>
          </w:tcPr>
          <w:p w14:paraId="285E7AFF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€ 60</w:t>
            </w:r>
          </w:p>
        </w:tc>
      </w:tr>
      <w:tr w:rsidR="000B0095" w:rsidRPr="00AD476B" w14:paraId="7E77BF0B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03E23255" w14:textId="5F9D3196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Misure di prevenzione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4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c.1)</w:t>
            </w:r>
          </w:p>
        </w:tc>
        <w:tc>
          <w:tcPr>
            <w:tcW w:w="992" w:type="dxa"/>
            <w:vAlign w:val="center"/>
          </w:tcPr>
          <w:p w14:paraId="17B1915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€ 238</w:t>
            </w:r>
          </w:p>
        </w:tc>
        <w:tc>
          <w:tcPr>
            <w:tcW w:w="993" w:type="dxa"/>
            <w:vAlign w:val="center"/>
          </w:tcPr>
          <w:p w14:paraId="1222764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€ 238</w:t>
            </w:r>
          </w:p>
        </w:tc>
        <w:tc>
          <w:tcPr>
            <w:tcW w:w="1029" w:type="dxa"/>
            <w:vAlign w:val="center"/>
          </w:tcPr>
          <w:p w14:paraId="4F1F4A7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€ 238</w:t>
            </w:r>
          </w:p>
        </w:tc>
      </w:tr>
      <w:tr w:rsidR="000B0095" w:rsidRPr="00AD476B" w14:paraId="755D381D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2E8FBB6" w14:textId="66CE2B38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Ulteriore potenziamento delle misure di prevenzione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4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 2)</w:t>
            </w:r>
          </w:p>
        </w:tc>
        <w:tc>
          <w:tcPr>
            <w:tcW w:w="992" w:type="dxa"/>
            <w:vAlign w:val="center"/>
          </w:tcPr>
          <w:p w14:paraId="4F0D528D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€ 120</w:t>
            </w:r>
            <w:r w:rsidRPr="00AD476B">
              <w:rPr>
                <w:rFonts w:cstheme="minorHAnsi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3" w:type="dxa"/>
            <w:vAlign w:val="center"/>
          </w:tcPr>
          <w:p w14:paraId="4D24D878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199146F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0B0095" w:rsidRPr="00AD476B" w14:paraId="12EC8B02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143EB96F" w14:textId="1C619CF4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Campagne di comunicazione istituzionale sulla prevenzione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4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3)</w:t>
            </w:r>
          </w:p>
        </w:tc>
        <w:tc>
          <w:tcPr>
            <w:tcW w:w="992" w:type="dxa"/>
            <w:vAlign w:val="center"/>
          </w:tcPr>
          <w:p w14:paraId="455C8568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993" w:type="dxa"/>
            <w:vAlign w:val="center"/>
          </w:tcPr>
          <w:p w14:paraId="0976B57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1029" w:type="dxa"/>
            <w:vAlign w:val="center"/>
          </w:tcPr>
          <w:p w14:paraId="2A1C18B4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</w:tr>
      <w:tr w:rsidR="000B0095" w:rsidRPr="00AD476B" w14:paraId="5C7F65E8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179D887F" w14:textId="0CCC934F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Piano nazionale di azioni per la salute mentale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5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1)</w:t>
            </w:r>
          </w:p>
        </w:tc>
        <w:tc>
          <w:tcPr>
            <w:tcW w:w="992" w:type="dxa"/>
            <w:vAlign w:val="center"/>
          </w:tcPr>
          <w:p w14:paraId="118A2F87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€ 80</w:t>
            </w:r>
          </w:p>
        </w:tc>
        <w:tc>
          <w:tcPr>
            <w:tcW w:w="993" w:type="dxa"/>
            <w:vAlign w:val="center"/>
          </w:tcPr>
          <w:p w14:paraId="7D4E1B24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  <w:tc>
          <w:tcPr>
            <w:tcW w:w="1029" w:type="dxa"/>
            <w:vAlign w:val="center"/>
          </w:tcPr>
          <w:p w14:paraId="387430C2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€ 90</w:t>
            </w:r>
          </w:p>
        </w:tc>
      </w:tr>
      <w:tr w:rsidR="000B0095" w:rsidRPr="00AD476B" w14:paraId="0A3F5C05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1E75508C" w14:textId="5BDF0327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Funzionamento degli Istituti zooprofilattici sperimentali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6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59FC77B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</w:t>
            </w:r>
          </w:p>
        </w:tc>
        <w:tc>
          <w:tcPr>
            <w:tcW w:w="993" w:type="dxa"/>
            <w:vAlign w:val="center"/>
          </w:tcPr>
          <w:p w14:paraId="2DB46B23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</w:t>
            </w:r>
          </w:p>
        </w:tc>
        <w:tc>
          <w:tcPr>
            <w:tcW w:w="1029" w:type="dxa"/>
            <w:vAlign w:val="center"/>
          </w:tcPr>
          <w:p w14:paraId="7D7EF30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</w:t>
            </w:r>
          </w:p>
        </w:tc>
      </w:tr>
      <w:tr w:rsidR="000B0095" w:rsidRPr="00AD476B" w14:paraId="0F873A97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3BB9F014" w14:textId="3E79C208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Tariffe DRG per acuti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7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c, 1)</w:t>
            </w:r>
          </w:p>
        </w:tc>
        <w:tc>
          <w:tcPr>
            <w:tcW w:w="992" w:type="dxa"/>
            <w:vAlign w:val="center"/>
          </w:tcPr>
          <w:p w14:paraId="673BF4F2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230E546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€ 350</w:t>
            </w:r>
          </w:p>
        </w:tc>
        <w:tc>
          <w:tcPr>
            <w:tcW w:w="1029" w:type="dxa"/>
            <w:vAlign w:val="center"/>
          </w:tcPr>
          <w:p w14:paraId="28D85D7D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€ 350</w:t>
            </w:r>
          </w:p>
        </w:tc>
      </w:tr>
      <w:tr w:rsidR="000B0095" w:rsidRPr="00AD476B" w14:paraId="4B232C13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1DF637C" w14:textId="4CFC8EBB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Prestazioni di assistenza specialistica ambulatoriale e di assistenza protesica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7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2)</w:t>
            </w:r>
          </w:p>
        </w:tc>
        <w:tc>
          <w:tcPr>
            <w:tcW w:w="992" w:type="dxa"/>
            <w:vAlign w:val="center"/>
          </w:tcPr>
          <w:p w14:paraId="01F86178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  <w:tc>
          <w:tcPr>
            <w:tcW w:w="993" w:type="dxa"/>
            <w:vAlign w:val="center"/>
          </w:tcPr>
          <w:p w14:paraId="30BFEEC5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€ 183</w:t>
            </w:r>
          </w:p>
        </w:tc>
        <w:tc>
          <w:tcPr>
            <w:tcW w:w="1029" w:type="dxa"/>
            <w:vAlign w:val="center"/>
          </w:tcPr>
          <w:p w14:paraId="4E37BB8F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€ 183</w:t>
            </w:r>
          </w:p>
        </w:tc>
      </w:tr>
      <w:tr w:rsidR="000B0095" w:rsidRPr="00AD476B" w14:paraId="5F5EA664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1F5EA78D" w14:textId="5906F1B7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Farmacia dei servizi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8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2)</w:t>
            </w:r>
          </w:p>
        </w:tc>
        <w:tc>
          <w:tcPr>
            <w:tcW w:w="992" w:type="dxa"/>
            <w:vAlign w:val="center"/>
          </w:tcPr>
          <w:p w14:paraId="0D4E8D1D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993" w:type="dxa"/>
            <w:vAlign w:val="center"/>
          </w:tcPr>
          <w:p w14:paraId="1988508D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1029" w:type="dxa"/>
            <w:vAlign w:val="center"/>
          </w:tcPr>
          <w:p w14:paraId="1D8701D9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</w:tr>
      <w:tr w:rsidR="000B0095" w:rsidRPr="00AD476B" w14:paraId="32FA69F9" w14:textId="77777777" w:rsidTr="000C7EF3">
        <w:trPr>
          <w:trHeight w:val="380"/>
        </w:trPr>
        <w:tc>
          <w:tcPr>
            <w:tcW w:w="9813" w:type="dxa"/>
            <w:gridSpan w:val="4"/>
            <w:vAlign w:val="center"/>
          </w:tcPr>
          <w:p w14:paraId="4D222BE2" w14:textId="63617D0C" w:rsidR="000B0095" w:rsidRPr="000C7EF3" w:rsidRDefault="000B0095" w:rsidP="00FA28CC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Indennità del personale del SSN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9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0B0095" w:rsidRPr="00AD476B" w14:paraId="053BD05C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BC04C60" w14:textId="77777777" w:rsidR="000B0095" w:rsidRPr="000C7EF3" w:rsidRDefault="000B0095" w:rsidP="00A401BE">
            <w:pPr>
              <w:suppressAutoHyphens/>
              <w:rPr>
                <w:rFonts w:cstheme="minorHAnsi"/>
                <w:bCs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Dirigenza medica e veterinaria (c.1)</w:t>
            </w:r>
          </w:p>
        </w:tc>
        <w:tc>
          <w:tcPr>
            <w:tcW w:w="992" w:type="dxa"/>
            <w:vAlign w:val="center"/>
          </w:tcPr>
          <w:p w14:paraId="2B3ECD54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  <w:tc>
          <w:tcPr>
            <w:tcW w:w="993" w:type="dxa"/>
            <w:vAlign w:val="center"/>
          </w:tcPr>
          <w:p w14:paraId="2357C9D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  <w:tc>
          <w:tcPr>
            <w:tcW w:w="1029" w:type="dxa"/>
            <w:vAlign w:val="center"/>
          </w:tcPr>
          <w:p w14:paraId="79E5F02C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</w:tr>
      <w:tr w:rsidR="000B0095" w:rsidRPr="00AD476B" w14:paraId="30E2063F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62B4FD03" w14:textId="77777777" w:rsidR="000B0095" w:rsidRPr="000C7EF3" w:rsidRDefault="000B0095" w:rsidP="00A401BE">
            <w:pPr>
              <w:suppressAutoHyphens/>
              <w:rPr>
                <w:rFonts w:cstheme="minorHAnsi"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Infermieri (c.2)</w:t>
            </w:r>
          </w:p>
        </w:tc>
        <w:tc>
          <w:tcPr>
            <w:tcW w:w="992" w:type="dxa"/>
            <w:vAlign w:val="center"/>
          </w:tcPr>
          <w:p w14:paraId="545B40A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€ 195</w:t>
            </w:r>
          </w:p>
        </w:tc>
        <w:tc>
          <w:tcPr>
            <w:tcW w:w="993" w:type="dxa"/>
            <w:vAlign w:val="center"/>
          </w:tcPr>
          <w:p w14:paraId="4BCBCAA4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€ 195</w:t>
            </w:r>
          </w:p>
        </w:tc>
        <w:tc>
          <w:tcPr>
            <w:tcW w:w="1029" w:type="dxa"/>
            <w:vAlign w:val="center"/>
          </w:tcPr>
          <w:p w14:paraId="6429C11B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€ 195</w:t>
            </w:r>
          </w:p>
        </w:tc>
      </w:tr>
      <w:tr w:rsidR="000B0095" w:rsidRPr="00AD476B" w14:paraId="1E8ADC45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6A1665C4" w14:textId="77777777" w:rsidR="000B0095" w:rsidRPr="000C7EF3" w:rsidRDefault="000B0095" w:rsidP="00A401BE">
            <w:pPr>
              <w:suppressAutoHyphens/>
              <w:rPr>
                <w:rFonts w:cstheme="minorHAnsi"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Dirigenza sanitaria non medica (c. 3)</w:t>
            </w:r>
          </w:p>
        </w:tc>
        <w:tc>
          <w:tcPr>
            <w:tcW w:w="992" w:type="dxa"/>
            <w:vAlign w:val="center"/>
          </w:tcPr>
          <w:p w14:paraId="784B09F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</w:t>
            </w:r>
          </w:p>
        </w:tc>
        <w:tc>
          <w:tcPr>
            <w:tcW w:w="993" w:type="dxa"/>
            <w:vAlign w:val="center"/>
          </w:tcPr>
          <w:p w14:paraId="71CA0293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</w:t>
            </w:r>
          </w:p>
        </w:tc>
        <w:tc>
          <w:tcPr>
            <w:tcW w:w="1029" w:type="dxa"/>
            <w:vAlign w:val="center"/>
          </w:tcPr>
          <w:p w14:paraId="6DD1A3E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</w:t>
            </w:r>
          </w:p>
        </w:tc>
      </w:tr>
      <w:tr w:rsidR="000B0095" w:rsidRPr="00AD476B" w14:paraId="5711BD7E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03111D1" w14:textId="77777777" w:rsidR="000B0095" w:rsidRPr="000C7EF3" w:rsidRDefault="000B0095" w:rsidP="00A401BE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Tutela del malato per la promozione della salute (c.4)</w:t>
            </w:r>
          </w:p>
        </w:tc>
        <w:tc>
          <w:tcPr>
            <w:tcW w:w="992" w:type="dxa"/>
            <w:vAlign w:val="center"/>
          </w:tcPr>
          <w:p w14:paraId="05855519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€ 58</w:t>
            </w:r>
          </w:p>
        </w:tc>
        <w:tc>
          <w:tcPr>
            <w:tcW w:w="993" w:type="dxa"/>
            <w:vAlign w:val="center"/>
          </w:tcPr>
          <w:p w14:paraId="671E4F3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€ 58</w:t>
            </w:r>
          </w:p>
        </w:tc>
        <w:tc>
          <w:tcPr>
            <w:tcW w:w="1029" w:type="dxa"/>
            <w:vAlign w:val="center"/>
          </w:tcPr>
          <w:p w14:paraId="10D1AE2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€ 58</w:t>
            </w:r>
          </w:p>
        </w:tc>
      </w:tr>
      <w:tr w:rsidR="000B0095" w:rsidRPr="00AD476B" w14:paraId="24A4440B" w14:textId="77777777" w:rsidTr="000C7EF3">
        <w:trPr>
          <w:trHeight w:val="380"/>
        </w:trPr>
        <w:tc>
          <w:tcPr>
            <w:tcW w:w="9813" w:type="dxa"/>
            <w:gridSpan w:val="4"/>
            <w:vAlign w:val="center"/>
          </w:tcPr>
          <w:p w14:paraId="5E9F69A2" w14:textId="63E3FAE6" w:rsidR="000B0095" w:rsidRPr="000C7EF3" w:rsidRDefault="000B0095" w:rsidP="00FA28CC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Prestazioni aggiuntive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9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c.5)</w:t>
            </w:r>
          </w:p>
        </w:tc>
      </w:tr>
      <w:tr w:rsidR="000B0095" w:rsidRPr="00AD476B" w14:paraId="0322B5EE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CD32BD1" w14:textId="77777777" w:rsidR="000B0095" w:rsidRPr="000C7EF3" w:rsidRDefault="000B0095" w:rsidP="00A401BE">
            <w:pPr>
              <w:suppressAutoHyphens/>
              <w:rPr>
                <w:rFonts w:cstheme="minorHAnsi"/>
                <w:bCs/>
                <w:spacing w:val="-2"/>
                <w:sz w:val="20"/>
                <w:szCs w:val="20"/>
              </w:rPr>
            </w:pPr>
            <w:r w:rsidRPr="000C7EF3">
              <w:rPr>
                <w:sz w:val="20"/>
                <w:szCs w:val="20"/>
              </w:rPr>
              <w:t xml:space="preserve">   </w:t>
            </w:r>
            <w:r w:rsidRPr="000C7EF3">
              <w:rPr>
                <w:rFonts w:cstheme="minorHAnsi"/>
                <w:spacing w:val="-2"/>
                <w:sz w:val="20"/>
                <w:szCs w:val="20"/>
              </w:rPr>
              <w:t>Medici dirigenti</w:t>
            </w:r>
          </w:p>
        </w:tc>
        <w:tc>
          <w:tcPr>
            <w:tcW w:w="992" w:type="dxa"/>
            <w:vAlign w:val="center"/>
          </w:tcPr>
          <w:p w14:paraId="5C44D84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€ 101,9</w:t>
            </w:r>
          </w:p>
        </w:tc>
        <w:tc>
          <w:tcPr>
            <w:tcW w:w="993" w:type="dxa"/>
            <w:vAlign w:val="center"/>
          </w:tcPr>
          <w:p w14:paraId="5828FB98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3748E91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0B0095" w:rsidRPr="00AD476B" w14:paraId="1A4A39BC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65AA2321" w14:textId="77777777" w:rsidR="000B0095" w:rsidRPr="000C7EF3" w:rsidRDefault="000B0095" w:rsidP="00A401BE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sz w:val="20"/>
                <w:szCs w:val="20"/>
              </w:rPr>
              <w:t xml:space="preserve">   </w:t>
            </w:r>
            <w:r w:rsidRPr="000C7EF3">
              <w:rPr>
                <w:rFonts w:cstheme="minorHAnsi"/>
                <w:spacing w:val="-2"/>
                <w:sz w:val="20"/>
                <w:szCs w:val="20"/>
              </w:rPr>
              <w:t>Personale sanitario del comparto</w:t>
            </w:r>
          </w:p>
        </w:tc>
        <w:tc>
          <w:tcPr>
            <w:tcW w:w="992" w:type="dxa"/>
            <w:vAlign w:val="center"/>
          </w:tcPr>
          <w:p w14:paraId="4B12A79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€ 41,6</w:t>
            </w:r>
          </w:p>
        </w:tc>
        <w:tc>
          <w:tcPr>
            <w:tcW w:w="993" w:type="dxa"/>
            <w:vAlign w:val="center"/>
          </w:tcPr>
          <w:p w14:paraId="25B54832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369F59F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0B0095" w:rsidRPr="00AD476B" w14:paraId="28BF09E1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2C95AA34" w14:textId="18026A70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Assunzioni personale sanitario </w:t>
            </w:r>
            <w:r w:rsidRPr="000C7EF3">
              <w:rPr>
                <w:rFonts w:cstheme="minorHAnsi"/>
                <w:bCs/>
                <w:sz w:val="20"/>
                <w:szCs w:val="20"/>
              </w:rPr>
              <w:t xml:space="preserve">(art. </w:t>
            </w:r>
            <w:r w:rsidR="00FA28CC">
              <w:rPr>
                <w:rFonts w:cstheme="minorHAnsi"/>
                <w:bCs/>
                <w:sz w:val="20"/>
                <w:szCs w:val="20"/>
              </w:rPr>
              <w:t>70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  <w:r w:rsidRPr="000C7EF3">
              <w:rPr>
                <w:rFonts w:cstheme="minorHAnsi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04AF5C9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€ 207</w:t>
            </w:r>
          </w:p>
        </w:tc>
        <w:tc>
          <w:tcPr>
            <w:tcW w:w="993" w:type="dxa"/>
            <w:vAlign w:val="center"/>
          </w:tcPr>
          <w:p w14:paraId="5680D71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€ 328</w:t>
            </w:r>
          </w:p>
        </w:tc>
        <w:tc>
          <w:tcPr>
            <w:tcW w:w="1029" w:type="dxa"/>
            <w:vAlign w:val="center"/>
          </w:tcPr>
          <w:p w14:paraId="27C76D7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€ 340</w:t>
            </w:r>
          </w:p>
        </w:tc>
      </w:tr>
      <w:tr w:rsidR="000B0095" w:rsidRPr="00AD476B" w14:paraId="620DF952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3EAD78D" w14:textId="0F60AB86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Valorizzazione del personale operante nei servizi di pronto soccorso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 w:rsidR="00FA28CC">
              <w:rPr>
                <w:rFonts w:cstheme="minorHAnsi"/>
                <w:bCs/>
                <w:sz w:val="20"/>
                <w:szCs w:val="20"/>
              </w:rPr>
              <w:t>1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35C1BC2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 N.D.</w:t>
            </w:r>
          </w:p>
        </w:tc>
        <w:tc>
          <w:tcPr>
            <w:tcW w:w="993" w:type="dxa"/>
            <w:vAlign w:val="center"/>
          </w:tcPr>
          <w:p w14:paraId="1FA1ABA8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N.D. </w:t>
            </w:r>
          </w:p>
        </w:tc>
        <w:tc>
          <w:tcPr>
            <w:tcW w:w="1029" w:type="dxa"/>
            <w:vAlign w:val="center"/>
          </w:tcPr>
          <w:p w14:paraId="18431F2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N.D. </w:t>
            </w:r>
          </w:p>
        </w:tc>
      </w:tr>
      <w:tr w:rsidR="000B0095" w:rsidRPr="00AD476B" w14:paraId="34B65D1F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D22B1CE" w14:textId="5CF2B71F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Cure palliative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 w:rsidR="00FA28CC">
              <w:rPr>
                <w:rFonts w:cstheme="minorHAnsi"/>
                <w:bCs/>
                <w:sz w:val="20"/>
                <w:szCs w:val="20"/>
              </w:rPr>
              <w:t>2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70BFEB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  <w:tc>
          <w:tcPr>
            <w:tcW w:w="993" w:type="dxa"/>
            <w:vAlign w:val="center"/>
          </w:tcPr>
          <w:p w14:paraId="32373B8C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  <w:tc>
          <w:tcPr>
            <w:tcW w:w="1029" w:type="dxa"/>
            <w:vAlign w:val="center"/>
          </w:tcPr>
          <w:p w14:paraId="0BF442E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</w:tr>
      <w:tr w:rsidR="000B0095" w:rsidRPr="00AD476B" w14:paraId="53C9D31A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31F4E9E" w14:textId="3E0C67F4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Adeguamento piattaforme informatiche INPS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 w:rsidR="00FA28CC">
              <w:rPr>
                <w:rFonts w:cstheme="minorHAnsi"/>
                <w:bCs/>
                <w:sz w:val="20"/>
                <w:szCs w:val="20"/>
              </w:rPr>
              <w:t>5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317F3DD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€ 0,2</w:t>
            </w:r>
          </w:p>
        </w:tc>
        <w:tc>
          <w:tcPr>
            <w:tcW w:w="993" w:type="dxa"/>
            <w:vAlign w:val="center"/>
          </w:tcPr>
          <w:p w14:paraId="78F357C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€ 0,2</w:t>
            </w:r>
          </w:p>
        </w:tc>
        <w:tc>
          <w:tcPr>
            <w:tcW w:w="1029" w:type="dxa"/>
            <w:vAlign w:val="center"/>
          </w:tcPr>
          <w:p w14:paraId="2A7B35C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€ 0,2</w:t>
            </w:r>
          </w:p>
        </w:tc>
      </w:tr>
      <w:tr w:rsidR="000B0095" w:rsidRPr="00AD476B" w14:paraId="47A3F5C9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00B469CF" w14:textId="0AB63FF0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Dematerializzazione della ricetta per l’erogazione dei prodotti per celiaci </w:t>
            </w:r>
            <w:r w:rsidRPr="000C7EF3">
              <w:rPr>
                <w:rFonts w:cstheme="minorHAnsi"/>
                <w:bCs/>
                <w:spacing w:val="-2"/>
                <w:sz w:val="20"/>
                <w:szCs w:val="20"/>
              </w:rPr>
              <w:t>(art. 7</w:t>
            </w:r>
            <w:r w:rsidR="00FA28CC">
              <w:rPr>
                <w:rFonts w:cstheme="minorHAnsi"/>
                <w:bCs/>
                <w:spacing w:val="-2"/>
                <w:sz w:val="20"/>
                <w:szCs w:val="20"/>
              </w:rPr>
              <w:t>7</w:t>
            </w:r>
            <w:r w:rsidRPr="000C7EF3">
              <w:rPr>
                <w:rFonts w:cstheme="minorHAnsi"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44BEA1D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  <w:tc>
          <w:tcPr>
            <w:tcW w:w="993" w:type="dxa"/>
            <w:vAlign w:val="center"/>
          </w:tcPr>
          <w:p w14:paraId="0F61320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1029" w:type="dxa"/>
            <w:vAlign w:val="center"/>
          </w:tcPr>
          <w:p w14:paraId="1ECA080F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</w:tr>
      <w:tr w:rsidR="000B0095" w:rsidRPr="00AD476B" w14:paraId="23C76859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78190967" w14:textId="2A90D11B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Misure per il finanziamento dell'Ospedale pediatrico Bambino Gesù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 w:rsidR="00FA28CC">
              <w:rPr>
                <w:rFonts w:cstheme="minorHAnsi"/>
                <w:bCs/>
                <w:sz w:val="20"/>
                <w:szCs w:val="20"/>
              </w:rPr>
              <w:t>8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38AB3CB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993" w:type="dxa"/>
            <w:vAlign w:val="center"/>
          </w:tcPr>
          <w:p w14:paraId="2B206ADC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1029" w:type="dxa"/>
            <w:vAlign w:val="center"/>
          </w:tcPr>
          <w:p w14:paraId="15B033FF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</w:tr>
      <w:tr w:rsidR="000B0095" w:rsidRPr="00AD476B" w14:paraId="1C0A64F3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33FAE657" w14:textId="0B63EA54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Spesa per l’acquisto di dispositivi medici </w:t>
            </w:r>
            <w:r w:rsidRPr="000C7EF3">
              <w:rPr>
                <w:rFonts w:cstheme="minorHAnsi"/>
                <w:bCs/>
                <w:sz w:val="20"/>
                <w:szCs w:val="20"/>
              </w:rPr>
              <w:t xml:space="preserve">(art. </w:t>
            </w:r>
            <w:r w:rsidR="00FA28CC">
              <w:rPr>
                <w:rFonts w:cstheme="minorHAnsi"/>
                <w:bCs/>
                <w:sz w:val="20"/>
                <w:szCs w:val="20"/>
              </w:rPr>
              <w:t>80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B63607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€ 280</w:t>
            </w:r>
          </w:p>
        </w:tc>
        <w:tc>
          <w:tcPr>
            <w:tcW w:w="993" w:type="dxa"/>
            <w:vAlign w:val="center"/>
          </w:tcPr>
          <w:p w14:paraId="6E77717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€ 280</w:t>
            </w:r>
          </w:p>
        </w:tc>
        <w:tc>
          <w:tcPr>
            <w:tcW w:w="1029" w:type="dxa"/>
            <w:vAlign w:val="center"/>
          </w:tcPr>
          <w:p w14:paraId="7747E433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€ 280</w:t>
            </w:r>
          </w:p>
        </w:tc>
      </w:tr>
      <w:tr w:rsidR="000B0095" w:rsidRPr="00AD476B" w14:paraId="6AFCE631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5CF91D2" w14:textId="01026EB7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Acquisto di prestazioni sanitarie da soggetti privati accreditati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</w:t>
            </w:r>
            <w:r w:rsidR="00FA28CC">
              <w:rPr>
                <w:rFonts w:cstheme="minorHAnsi"/>
                <w:bCs/>
                <w:sz w:val="20"/>
                <w:szCs w:val="20"/>
              </w:rPr>
              <w:t>1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71A1370" w14:textId="4C87C4D0" w:rsidR="000B0095" w:rsidRPr="00AD476B" w:rsidRDefault="000B0095" w:rsidP="00AA632B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 w:rsidR="00AA632B">
              <w:rPr>
                <w:sz w:val="20"/>
                <w:szCs w:val="20"/>
              </w:rPr>
              <w:t>123</w:t>
            </w:r>
          </w:p>
        </w:tc>
        <w:tc>
          <w:tcPr>
            <w:tcW w:w="993" w:type="dxa"/>
            <w:vAlign w:val="center"/>
          </w:tcPr>
          <w:p w14:paraId="5E68639C" w14:textId="50C607A9" w:rsidR="000B0095" w:rsidRPr="00AD476B" w:rsidRDefault="000B0095" w:rsidP="00AA632B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 w:rsidR="00AA632B">
              <w:rPr>
                <w:sz w:val="20"/>
                <w:szCs w:val="20"/>
              </w:rPr>
              <w:t>123</w:t>
            </w:r>
          </w:p>
        </w:tc>
        <w:tc>
          <w:tcPr>
            <w:tcW w:w="1029" w:type="dxa"/>
            <w:vAlign w:val="center"/>
          </w:tcPr>
          <w:p w14:paraId="65C25327" w14:textId="6A440E06" w:rsidR="000B0095" w:rsidRPr="00AD476B" w:rsidRDefault="000B0095" w:rsidP="00AA632B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 w:rsidR="00AA632B">
              <w:rPr>
                <w:sz w:val="20"/>
                <w:szCs w:val="20"/>
              </w:rPr>
              <w:t>123</w:t>
            </w:r>
          </w:p>
        </w:tc>
      </w:tr>
      <w:tr w:rsidR="000B0095" w:rsidRPr="00AD476B" w14:paraId="6A836C17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0317DCA4" w14:textId="14945428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Ospedali di rilievo nazionale e di alta specializzazione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</w:t>
            </w:r>
            <w:r w:rsidR="00FA28CC">
              <w:rPr>
                <w:rFonts w:cstheme="minorHAnsi"/>
                <w:bCs/>
                <w:sz w:val="20"/>
                <w:szCs w:val="20"/>
              </w:rPr>
              <w:t>2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578365A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  <w:tc>
          <w:tcPr>
            <w:tcW w:w="993" w:type="dxa"/>
            <w:vAlign w:val="center"/>
          </w:tcPr>
          <w:p w14:paraId="2FC9EC12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7072430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0B0095" w:rsidRPr="00AD476B" w14:paraId="4C0F761F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ED69FDF" w14:textId="0DAC7D2E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Servizi di scambio transfrontaliero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</w:t>
            </w:r>
            <w:r w:rsidR="00FA28CC">
              <w:rPr>
                <w:rFonts w:cstheme="minorHAnsi"/>
                <w:bCs/>
                <w:sz w:val="20"/>
                <w:szCs w:val="20"/>
              </w:rPr>
              <w:t>3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AC00EF9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993" w:type="dxa"/>
            <w:vAlign w:val="center"/>
          </w:tcPr>
          <w:p w14:paraId="550B1B9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€ 0,8</w:t>
            </w:r>
          </w:p>
        </w:tc>
        <w:tc>
          <w:tcPr>
            <w:tcW w:w="1029" w:type="dxa"/>
            <w:vAlign w:val="center"/>
          </w:tcPr>
          <w:p w14:paraId="262DF4A7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€ 0,8</w:t>
            </w:r>
          </w:p>
        </w:tc>
      </w:tr>
      <w:tr w:rsidR="000B0095" w:rsidRPr="00AD476B" w14:paraId="72B2EB51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083359BC" w14:textId="77777777" w:rsidR="000B0095" w:rsidRPr="000C7EF3" w:rsidRDefault="000B0095" w:rsidP="00A401BE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Potenziamento dei servizi di telemedicina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85)</w:t>
            </w:r>
          </w:p>
        </w:tc>
        <w:tc>
          <w:tcPr>
            <w:tcW w:w="992" w:type="dxa"/>
            <w:vAlign w:val="center"/>
          </w:tcPr>
          <w:p w14:paraId="350625F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  <w:tc>
          <w:tcPr>
            <w:tcW w:w="993" w:type="dxa"/>
            <w:vAlign w:val="center"/>
          </w:tcPr>
          <w:p w14:paraId="47EA3B3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7FEE43FB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0B0095" w:rsidRPr="00AD476B" w14:paraId="0F0347EC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4FA7B6F" w14:textId="2F5CF86D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Fondo destinato ai bambini affetti da malattie oncologiche e misure in materia di epilessia farmacoresistente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9</w:t>
            </w:r>
            <w:r w:rsidR="00FA28CC">
              <w:rPr>
                <w:rFonts w:cstheme="minorHAnsi"/>
                <w:bCs/>
                <w:sz w:val="20"/>
                <w:szCs w:val="20"/>
              </w:rPr>
              <w:t>0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85E38A7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  <w:tc>
          <w:tcPr>
            <w:tcW w:w="993" w:type="dxa"/>
            <w:vAlign w:val="center"/>
          </w:tcPr>
          <w:p w14:paraId="41B024A7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  <w:tc>
          <w:tcPr>
            <w:tcW w:w="1029" w:type="dxa"/>
            <w:vAlign w:val="center"/>
          </w:tcPr>
          <w:p w14:paraId="1D7AE72C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</w:tr>
      <w:tr w:rsidR="000B0095" w:rsidRPr="000C7EF3" w14:paraId="4CAFCE0C" w14:textId="77777777" w:rsidTr="000C7EF3">
        <w:trPr>
          <w:trHeight w:val="340"/>
        </w:trPr>
        <w:tc>
          <w:tcPr>
            <w:tcW w:w="9813" w:type="dxa"/>
            <w:gridSpan w:val="4"/>
            <w:tcBorders>
              <w:bottom w:val="single" w:sz="4" w:space="0" w:color="FFFFFF" w:themeColor="background1"/>
            </w:tcBorders>
            <w:vAlign w:val="bottom"/>
          </w:tcPr>
          <w:p w14:paraId="0BEAE069" w14:textId="5374DFC7" w:rsidR="000B0095" w:rsidRPr="000C7EF3" w:rsidRDefault="000B0095" w:rsidP="000C7EF3">
            <w:pPr>
              <w:suppressAutoHyphens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0C7EF3">
              <w:rPr>
                <w:i/>
                <w:iCs/>
                <w:sz w:val="20"/>
                <w:szCs w:val="20"/>
              </w:rPr>
              <w:t>Dati in milioni</w:t>
            </w:r>
          </w:p>
        </w:tc>
      </w:tr>
      <w:tr w:rsidR="000B0095" w:rsidRPr="00AD476B" w14:paraId="18941DC3" w14:textId="77777777" w:rsidTr="000C7EF3">
        <w:trPr>
          <w:trHeight w:val="380"/>
        </w:trPr>
        <w:tc>
          <w:tcPr>
            <w:tcW w:w="9813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0F807B27" w14:textId="77777777" w:rsidR="000B0095" w:rsidRPr="00AD476B" w:rsidRDefault="000B0095" w:rsidP="00A401BE">
            <w:pPr>
              <w:suppressAutoHyphens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  <w:vertAlign w:val="superscript"/>
              </w:rPr>
              <w:t>1</w:t>
            </w:r>
            <w:r w:rsidRPr="00AD476B">
              <w:rPr>
                <w:sz w:val="20"/>
                <w:szCs w:val="20"/>
              </w:rPr>
              <w:t>In aggiunta ai € 127 milioni destinati dalla Legge di Bilancio 2025</w:t>
            </w:r>
          </w:p>
          <w:p w14:paraId="7E9AED72" w14:textId="37202100" w:rsidR="000B0095" w:rsidRPr="00AD476B" w:rsidRDefault="000B0095" w:rsidP="000C7EF3">
            <w:pPr>
              <w:suppressAutoHyphens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  <w:vertAlign w:val="superscript"/>
              </w:rPr>
              <w:t>2</w:t>
            </w:r>
            <w:r w:rsidRPr="00AD476B">
              <w:rPr>
                <w:sz w:val="20"/>
                <w:szCs w:val="20"/>
              </w:rPr>
              <w:t>In aggiunta ai € 243 milioni per il 2026, € 122 milioni per i 2027 e € 110 milioni per il 2028 destinati dalla Legge di Bilancio 2025</w:t>
            </w:r>
          </w:p>
        </w:tc>
      </w:tr>
    </w:tbl>
    <w:p w14:paraId="4E68E8DA" w14:textId="77777777" w:rsidR="000B0095" w:rsidRPr="00CA2619" w:rsidRDefault="000B0095" w:rsidP="00C7306D">
      <w:pPr>
        <w:spacing w:after="0"/>
        <w:rPr>
          <w:rFonts w:eastAsia="Calibri" w:cstheme="minorHAnsi"/>
          <w:b/>
          <w:bCs/>
          <w:color w:val="00457D"/>
          <w:sz w:val="16"/>
          <w:szCs w:val="16"/>
        </w:rPr>
      </w:pPr>
    </w:p>
    <w:sectPr w:rsidR="000B0095" w:rsidRPr="00CA2619" w:rsidSect="001574B2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3637A" w16cex:dateUtc="2025-10-22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FAE2BA" w16cid:durableId="2CA35E63"/>
  <w16cid:commentId w16cid:paraId="23C3E717" w16cid:durableId="2CA363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67E60" w14:textId="77777777" w:rsidR="00D64336" w:rsidRDefault="00D64336" w:rsidP="00ED0CFD">
      <w:pPr>
        <w:spacing w:after="0" w:line="240" w:lineRule="auto"/>
      </w:pPr>
      <w:r>
        <w:separator/>
      </w:r>
    </w:p>
  </w:endnote>
  <w:endnote w:type="continuationSeparator" w:id="0">
    <w:p w14:paraId="18C29392" w14:textId="77777777" w:rsidR="00D64336" w:rsidRDefault="00D64336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9AEAC" w14:textId="77777777" w:rsidR="00D64336" w:rsidRDefault="00D64336" w:rsidP="00ED0CFD">
      <w:pPr>
        <w:spacing w:after="0" w:line="240" w:lineRule="auto"/>
      </w:pPr>
      <w:r>
        <w:separator/>
      </w:r>
    </w:p>
  </w:footnote>
  <w:footnote w:type="continuationSeparator" w:id="0">
    <w:p w14:paraId="39BF18B6" w14:textId="77777777" w:rsidR="00D64336" w:rsidRDefault="00D64336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688EF" w14:textId="0F814C48" w:rsidR="00B25161" w:rsidRPr="00A02FC4" w:rsidRDefault="00B25161" w:rsidP="00A02FC4">
    <w:pPr>
      <w:pStyle w:val="Intestazione"/>
      <w:jc w:val="center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965"/>
    <w:multiLevelType w:val="hybridMultilevel"/>
    <w:tmpl w:val="76DEAA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07624"/>
    <w:multiLevelType w:val="multilevel"/>
    <w:tmpl w:val="1CEC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43387"/>
    <w:multiLevelType w:val="multilevel"/>
    <w:tmpl w:val="FB1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4FE1DC6"/>
    <w:multiLevelType w:val="multilevel"/>
    <w:tmpl w:val="DB26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2AAC"/>
    <w:rsid w:val="00002C1B"/>
    <w:rsid w:val="00002EC3"/>
    <w:rsid w:val="00003615"/>
    <w:rsid w:val="00003744"/>
    <w:rsid w:val="000037F3"/>
    <w:rsid w:val="00003F78"/>
    <w:rsid w:val="000042B2"/>
    <w:rsid w:val="00004B0A"/>
    <w:rsid w:val="00005664"/>
    <w:rsid w:val="00005B25"/>
    <w:rsid w:val="000064FE"/>
    <w:rsid w:val="00006555"/>
    <w:rsid w:val="000068CF"/>
    <w:rsid w:val="0000695A"/>
    <w:rsid w:val="00010498"/>
    <w:rsid w:val="000123C4"/>
    <w:rsid w:val="0001384A"/>
    <w:rsid w:val="00013DFA"/>
    <w:rsid w:val="0001439D"/>
    <w:rsid w:val="000146FF"/>
    <w:rsid w:val="00015D8E"/>
    <w:rsid w:val="000170A0"/>
    <w:rsid w:val="00017968"/>
    <w:rsid w:val="00017FB4"/>
    <w:rsid w:val="00020006"/>
    <w:rsid w:val="00021B81"/>
    <w:rsid w:val="00021D7F"/>
    <w:rsid w:val="000239FE"/>
    <w:rsid w:val="00023D8A"/>
    <w:rsid w:val="00024F8A"/>
    <w:rsid w:val="000252D2"/>
    <w:rsid w:val="00025ADB"/>
    <w:rsid w:val="00027F90"/>
    <w:rsid w:val="0003112C"/>
    <w:rsid w:val="00034188"/>
    <w:rsid w:val="000342C3"/>
    <w:rsid w:val="00034337"/>
    <w:rsid w:val="000346D7"/>
    <w:rsid w:val="00034D73"/>
    <w:rsid w:val="00035404"/>
    <w:rsid w:val="00036089"/>
    <w:rsid w:val="00036788"/>
    <w:rsid w:val="000411ED"/>
    <w:rsid w:val="000412D7"/>
    <w:rsid w:val="00043D1A"/>
    <w:rsid w:val="00043D1F"/>
    <w:rsid w:val="0004410A"/>
    <w:rsid w:val="00045693"/>
    <w:rsid w:val="00046B2C"/>
    <w:rsid w:val="0004703D"/>
    <w:rsid w:val="00051F7A"/>
    <w:rsid w:val="000520CC"/>
    <w:rsid w:val="00053C8D"/>
    <w:rsid w:val="00053EBE"/>
    <w:rsid w:val="0005402C"/>
    <w:rsid w:val="00054250"/>
    <w:rsid w:val="00055180"/>
    <w:rsid w:val="000554AC"/>
    <w:rsid w:val="00055AB9"/>
    <w:rsid w:val="00055AE9"/>
    <w:rsid w:val="00055D27"/>
    <w:rsid w:val="0005693E"/>
    <w:rsid w:val="000602AA"/>
    <w:rsid w:val="00061F0B"/>
    <w:rsid w:val="00063027"/>
    <w:rsid w:val="00063E0B"/>
    <w:rsid w:val="0006440E"/>
    <w:rsid w:val="0006471B"/>
    <w:rsid w:val="00064B9B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77876"/>
    <w:rsid w:val="0008045C"/>
    <w:rsid w:val="00080695"/>
    <w:rsid w:val="0008103B"/>
    <w:rsid w:val="000815B7"/>
    <w:rsid w:val="000826DD"/>
    <w:rsid w:val="00082AC6"/>
    <w:rsid w:val="00082D7D"/>
    <w:rsid w:val="00083028"/>
    <w:rsid w:val="0008578E"/>
    <w:rsid w:val="000863FA"/>
    <w:rsid w:val="00090941"/>
    <w:rsid w:val="00090A39"/>
    <w:rsid w:val="00090B7E"/>
    <w:rsid w:val="00090CF8"/>
    <w:rsid w:val="000924AD"/>
    <w:rsid w:val="000927C7"/>
    <w:rsid w:val="0009291A"/>
    <w:rsid w:val="000935F1"/>
    <w:rsid w:val="00094560"/>
    <w:rsid w:val="000947C4"/>
    <w:rsid w:val="00095589"/>
    <w:rsid w:val="00095BA9"/>
    <w:rsid w:val="00097C59"/>
    <w:rsid w:val="00097CF1"/>
    <w:rsid w:val="000A0FC3"/>
    <w:rsid w:val="000A1367"/>
    <w:rsid w:val="000A2084"/>
    <w:rsid w:val="000A226B"/>
    <w:rsid w:val="000A3932"/>
    <w:rsid w:val="000A471C"/>
    <w:rsid w:val="000A4C27"/>
    <w:rsid w:val="000A58EB"/>
    <w:rsid w:val="000A62A9"/>
    <w:rsid w:val="000A6EB6"/>
    <w:rsid w:val="000A77E2"/>
    <w:rsid w:val="000A7B66"/>
    <w:rsid w:val="000B0095"/>
    <w:rsid w:val="000B07B0"/>
    <w:rsid w:val="000B12EB"/>
    <w:rsid w:val="000B185F"/>
    <w:rsid w:val="000B1C52"/>
    <w:rsid w:val="000B2168"/>
    <w:rsid w:val="000B3A46"/>
    <w:rsid w:val="000B40CB"/>
    <w:rsid w:val="000B50CD"/>
    <w:rsid w:val="000B6DD0"/>
    <w:rsid w:val="000B710C"/>
    <w:rsid w:val="000B7985"/>
    <w:rsid w:val="000B7E0B"/>
    <w:rsid w:val="000C098C"/>
    <w:rsid w:val="000C0B04"/>
    <w:rsid w:val="000C1D8E"/>
    <w:rsid w:val="000C344B"/>
    <w:rsid w:val="000C544C"/>
    <w:rsid w:val="000C6130"/>
    <w:rsid w:val="000C72F9"/>
    <w:rsid w:val="000C7EF3"/>
    <w:rsid w:val="000D02E4"/>
    <w:rsid w:val="000D1377"/>
    <w:rsid w:val="000D17FB"/>
    <w:rsid w:val="000D2546"/>
    <w:rsid w:val="000D25AC"/>
    <w:rsid w:val="000D2AE0"/>
    <w:rsid w:val="000D3C58"/>
    <w:rsid w:val="000D44D4"/>
    <w:rsid w:val="000D5771"/>
    <w:rsid w:val="000D5893"/>
    <w:rsid w:val="000D6150"/>
    <w:rsid w:val="000D7252"/>
    <w:rsid w:val="000D7A72"/>
    <w:rsid w:val="000D7F45"/>
    <w:rsid w:val="000E0391"/>
    <w:rsid w:val="000E0D27"/>
    <w:rsid w:val="000E17F7"/>
    <w:rsid w:val="000E2CC8"/>
    <w:rsid w:val="000E2E4F"/>
    <w:rsid w:val="000E6B01"/>
    <w:rsid w:val="000E7CC2"/>
    <w:rsid w:val="000F0B1B"/>
    <w:rsid w:val="000F0BBD"/>
    <w:rsid w:val="000F10F8"/>
    <w:rsid w:val="000F2FF8"/>
    <w:rsid w:val="000F39EF"/>
    <w:rsid w:val="000F5C0F"/>
    <w:rsid w:val="000F60B0"/>
    <w:rsid w:val="000F7332"/>
    <w:rsid w:val="0010059E"/>
    <w:rsid w:val="00101E16"/>
    <w:rsid w:val="001020FC"/>
    <w:rsid w:val="00102CE3"/>
    <w:rsid w:val="00103720"/>
    <w:rsid w:val="001043DB"/>
    <w:rsid w:val="0010593B"/>
    <w:rsid w:val="0010685E"/>
    <w:rsid w:val="00107096"/>
    <w:rsid w:val="0010719F"/>
    <w:rsid w:val="00107984"/>
    <w:rsid w:val="0011070B"/>
    <w:rsid w:val="0011205F"/>
    <w:rsid w:val="001139A6"/>
    <w:rsid w:val="00113D4A"/>
    <w:rsid w:val="00113F3C"/>
    <w:rsid w:val="001167D9"/>
    <w:rsid w:val="0011796A"/>
    <w:rsid w:val="00117F68"/>
    <w:rsid w:val="00117F98"/>
    <w:rsid w:val="00120465"/>
    <w:rsid w:val="0012322D"/>
    <w:rsid w:val="00123473"/>
    <w:rsid w:val="00125838"/>
    <w:rsid w:val="00125C6A"/>
    <w:rsid w:val="001262A5"/>
    <w:rsid w:val="00127AEF"/>
    <w:rsid w:val="00130907"/>
    <w:rsid w:val="001317CF"/>
    <w:rsid w:val="00132082"/>
    <w:rsid w:val="00132DB9"/>
    <w:rsid w:val="00134A6D"/>
    <w:rsid w:val="00134C8C"/>
    <w:rsid w:val="00135D93"/>
    <w:rsid w:val="0013620E"/>
    <w:rsid w:val="00137A73"/>
    <w:rsid w:val="00142460"/>
    <w:rsid w:val="00143689"/>
    <w:rsid w:val="00143F81"/>
    <w:rsid w:val="00144377"/>
    <w:rsid w:val="00144B49"/>
    <w:rsid w:val="00144F94"/>
    <w:rsid w:val="001458FE"/>
    <w:rsid w:val="001465C6"/>
    <w:rsid w:val="001471AF"/>
    <w:rsid w:val="001504F4"/>
    <w:rsid w:val="00150EF3"/>
    <w:rsid w:val="00151E5F"/>
    <w:rsid w:val="0015229D"/>
    <w:rsid w:val="001522A1"/>
    <w:rsid w:val="00154086"/>
    <w:rsid w:val="0015409C"/>
    <w:rsid w:val="00155161"/>
    <w:rsid w:val="00155751"/>
    <w:rsid w:val="001560D3"/>
    <w:rsid w:val="001574B2"/>
    <w:rsid w:val="001617D2"/>
    <w:rsid w:val="00162D42"/>
    <w:rsid w:val="00162FBC"/>
    <w:rsid w:val="0016375C"/>
    <w:rsid w:val="001637AE"/>
    <w:rsid w:val="00163D48"/>
    <w:rsid w:val="001654A5"/>
    <w:rsid w:val="00165E45"/>
    <w:rsid w:val="00170760"/>
    <w:rsid w:val="00170B46"/>
    <w:rsid w:val="00171767"/>
    <w:rsid w:val="00173764"/>
    <w:rsid w:val="00173FB4"/>
    <w:rsid w:val="0017405D"/>
    <w:rsid w:val="001748BA"/>
    <w:rsid w:val="00182F55"/>
    <w:rsid w:val="0018554D"/>
    <w:rsid w:val="00185694"/>
    <w:rsid w:val="00185966"/>
    <w:rsid w:val="00186FCE"/>
    <w:rsid w:val="00192DAD"/>
    <w:rsid w:val="00192F75"/>
    <w:rsid w:val="00193F19"/>
    <w:rsid w:val="00194C03"/>
    <w:rsid w:val="00196A04"/>
    <w:rsid w:val="00196C2D"/>
    <w:rsid w:val="001A038D"/>
    <w:rsid w:val="001A2B0C"/>
    <w:rsid w:val="001A3E0D"/>
    <w:rsid w:val="001A3E96"/>
    <w:rsid w:val="001A5B33"/>
    <w:rsid w:val="001A6181"/>
    <w:rsid w:val="001B171D"/>
    <w:rsid w:val="001B1CE6"/>
    <w:rsid w:val="001B463F"/>
    <w:rsid w:val="001B59E3"/>
    <w:rsid w:val="001B6AC9"/>
    <w:rsid w:val="001B7A15"/>
    <w:rsid w:val="001C09A7"/>
    <w:rsid w:val="001C367A"/>
    <w:rsid w:val="001C51E2"/>
    <w:rsid w:val="001C6507"/>
    <w:rsid w:val="001C6B8F"/>
    <w:rsid w:val="001C71B6"/>
    <w:rsid w:val="001C7324"/>
    <w:rsid w:val="001D0E41"/>
    <w:rsid w:val="001D153D"/>
    <w:rsid w:val="001D19F1"/>
    <w:rsid w:val="001D2337"/>
    <w:rsid w:val="001D240E"/>
    <w:rsid w:val="001D38B9"/>
    <w:rsid w:val="001D4CE8"/>
    <w:rsid w:val="001D4EAE"/>
    <w:rsid w:val="001E0031"/>
    <w:rsid w:val="001E1854"/>
    <w:rsid w:val="001E1E52"/>
    <w:rsid w:val="001E2052"/>
    <w:rsid w:val="001E42B9"/>
    <w:rsid w:val="001E53AB"/>
    <w:rsid w:val="001E6156"/>
    <w:rsid w:val="001E6902"/>
    <w:rsid w:val="001F0746"/>
    <w:rsid w:val="001F1C35"/>
    <w:rsid w:val="001F20B8"/>
    <w:rsid w:val="001F22DB"/>
    <w:rsid w:val="002020DB"/>
    <w:rsid w:val="00202A01"/>
    <w:rsid w:val="00203D3A"/>
    <w:rsid w:val="0020435A"/>
    <w:rsid w:val="00206047"/>
    <w:rsid w:val="00206A88"/>
    <w:rsid w:val="00207301"/>
    <w:rsid w:val="002073BD"/>
    <w:rsid w:val="00207B90"/>
    <w:rsid w:val="00210158"/>
    <w:rsid w:val="0021155E"/>
    <w:rsid w:val="00211D1A"/>
    <w:rsid w:val="00212397"/>
    <w:rsid w:val="00216226"/>
    <w:rsid w:val="00216F04"/>
    <w:rsid w:val="0022389A"/>
    <w:rsid w:val="00223F01"/>
    <w:rsid w:val="00224B94"/>
    <w:rsid w:val="00224E88"/>
    <w:rsid w:val="00224EF1"/>
    <w:rsid w:val="00227E91"/>
    <w:rsid w:val="002304E3"/>
    <w:rsid w:val="0023195E"/>
    <w:rsid w:val="002322B6"/>
    <w:rsid w:val="002328C6"/>
    <w:rsid w:val="00233EF5"/>
    <w:rsid w:val="002349C3"/>
    <w:rsid w:val="00235FC2"/>
    <w:rsid w:val="00236116"/>
    <w:rsid w:val="00236239"/>
    <w:rsid w:val="0023633F"/>
    <w:rsid w:val="002365E6"/>
    <w:rsid w:val="0023771D"/>
    <w:rsid w:val="00237CAD"/>
    <w:rsid w:val="00241AD5"/>
    <w:rsid w:val="00241E9C"/>
    <w:rsid w:val="00242077"/>
    <w:rsid w:val="00243B76"/>
    <w:rsid w:val="00243F05"/>
    <w:rsid w:val="00245612"/>
    <w:rsid w:val="0025100A"/>
    <w:rsid w:val="00251386"/>
    <w:rsid w:val="00251822"/>
    <w:rsid w:val="00251AC2"/>
    <w:rsid w:val="00251D02"/>
    <w:rsid w:val="002534BD"/>
    <w:rsid w:val="002551A1"/>
    <w:rsid w:val="0025636B"/>
    <w:rsid w:val="002571A3"/>
    <w:rsid w:val="00260A01"/>
    <w:rsid w:val="00261479"/>
    <w:rsid w:val="00262274"/>
    <w:rsid w:val="00265450"/>
    <w:rsid w:val="00265B05"/>
    <w:rsid w:val="00265F6C"/>
    <w:rsid w:val="00266561"/>
    <w:rsid w:val="00266E0C"/>
    <w:rsid w:val="00266E1A"/>
    <w:rsid w:val="0026736F"/>
    <w:rsid w:val="00270A49"/>
    <w:rsid w:val="002723FC"/>
    <w:rsid w:val="0027468B"/>
    <w:rsid w:val="002762A4"/>
    <w:rsid w:val="00280CDD"/>
    <w:rsid w:val="00281794"/>
    <w:rsid w:val="00282655"/>
    <w:rsid w:val="00282DAE"/>
    <w:rsid w:val="0028369A"/>
    <w:rsid w:val="00284792"/>
    <w:rsid w:val="00285433"/>
    <w:rsid w:val="00287105"/>
    <w:rsid w:val="0028721D"/>
    <w:rsid w:val="00287452"/>
    <w:rsid w:val="00290375"/>
    <w:rsid w:val="00291602"/>
    <w:rsid w:val="00291DFC"/>
    <w:rsid w:val="00291E15"/>
    <w:rsid w:val="00293854"/>
    <w:rsid w:val="0029392F"/>
    <w:rsid w:val="00294781"/>
    <w:rsid w:val="00295416"/>
    <w:rsid w:val="00297583"/>
    <w:rsid w:val="002A0718"/>
    <w:rsid w:val="002A16D0"/>
    <w:rsid w:val="002A1ECA"/>
    <w:rsid w:val="002A2034"/>
    <w:rsid w:val="002A3232"/>
    <w:rsid w:val="002A538A"/>
    <w:rsid w:val="002A5A93"/>
    <w:rsid w:val="002A5B18"/>
    <w:rsid w:val="002A6F12"/>
    <w:rsid w:val="002B12E6"/>
    <w:rsid w:val="002B1329"/>
    <w:rsid w:val="002B27C7"/>
    <w:rsid w:val="002B2CE2"/>
    <w:rsid w:val="002B7295"/>
    <w:rsid w:val="002B7A7A"/>
    <w:rsid w:val="002B7C26"/>
    <w:rsid w:val="002B7C95"/>
    <w:rsid w:val="002B7F03"/>
    <w:rsid w:val="002C0B56"/>
    <w:rsid w:val="002C0B93"/>
    <w:rsid w:val="002C0BE4"/>
    <w:rsid w:val="002C0F1B"/>
    <w:rsid w:val="002C4190"/>
    <w:rsid w:val="002C433C"/>
    <w:rsid w:val="002C4460"/>
    <w:rsid w:val="002C4581"/>
    <w:rsid w:val="002C5187"/>
    <w:rsid w:val="002C5517"/>
    <w:rsid w:val="002C7967"/>
    <w:rsid w:val="002D02BA"/>
    <w:rsid w:val="002D1354"/>
    <w:rsid w:val="002D1A9D"/>
    <w:rsid w:val="002D1CBC"/>
    <w:rsid w:val="002D2C39"/>
    <w:rsid w:val="002D390F"/>
    <w:rsid w:val="002D48A6"/>
    <w:rsid w:val="002D4D2D"/>
    <w:rsid w:val="002D61E1"/>
    <w:rsid w:val="002D6AD0"/>
    <w:rsid w:val="002D7409"/>
    <w:rsid w:val="002E1B3F"/>
    <w:rsid w:val="002E2D66"/>
    <w:rsid w:val="002E33A2"/>
    <w:rsid w:val="002E3609"/>
    <w:rsid w:val="002E5382"/>
    <w:rsid w:val="002E5E3C"/>
    <w:rsid w:val="002F07F4"/>
    <w:rsid w:val="002F1433"/>
    <w:rsid w:val="002F2E6A"/>
    <w:rsid w:val="002F323D"/>
    <w:rsid w:val="002F33C2"/>
    <w:rsid w:val="002F412E"/>
    <w:rsid w:val="002F4170"/>
    <w:rsid w:val="002F43C6"/>
    <w:rsid w:val="002F4586"/>
    <w:rsid w:val="002F605D"/>
    <w:rsid w:val="00300EF7"/>
    <w:rsid w:val="00305113"/>
    <w:rsid w:val="00306B44"/>
    <w:rsid w:val="00310511"/>
    <w:rsid w:val="00310654"/>
    <w:rsid w:val="00311603"/>
    <w:rsid w:val="00311E5C"/>
    <w:rsid w:val="003121F3"/>
    <w:rsid w:val="00312539"/>
    <w:rsid w:val="00313AD1"/>
    <w:rsid w:val="00313E84"/>
    <w:rsid w:val="003149A9"/>
    <w:rsid w:val="00314A83"/>
    <w:rsid w:val="00315177"/>
    <w:rsid w:val="00315407"/>
    <w:rsid w:val="00315734"/>
    <w:rsid w:val="0031648A"/>
    <w:rsid w:val="0031755E"/>
    <w:rsid w:val="0032033F"/>
    <w:rsid w:val="00321C3D"/>
    <w:rsid w:val="00323798"/>
    <w:rsid w:val="00323A55"/>
    <w:rsid w:val="00325E98"/>
    <w:rsid w:val="003268D1"/>
    <w:rsid w:val="00326DCF"/>
    <w:rsid w:val="00327AF0"/>
    <w:rsid w:val="00330694"/>
    <w:rsid w:val="00330A9B"/>
    <w:rsid w:val="00331237"/>
    <w:rsid w:val="00331B49"/>
    <w:rsid w:val="00331F29"/>
    <w:rsid w:val="00333A1D"/>
    <w:rsid w:val="0033460B"/>
    <w:rsid w:val="00334F92"/>
    <w:rsid w:val="00335358"/>
    <w:rsid w:val="0033579B"/>
    <w:rsid w:val="00336D93"/>
    <w:rsid w:val="0033752D"/>
    <w:rsid w:val="0034291E"/>
    <w:rsid w:val="00343723"/>
    <w:rsid w:val="003443B4"/>
    <w:rsid w:val="0034453E"/>
    <w:rsid w:val="00344689"/>
    <w:rsid w:val="003456F8"/>
    <w:rsid w:val="0034583A"/>
    <w:rsid w:val="00347675"/>
    <w:rsid w:val="00347BD4"/>
    <w:rsid w:val="00347CD5"/>
    <w:rsid w:val="00350B80"/>
    <w:rsid w:val="00351462"/>
    <w:rsid w:val="00351B97"/>
    <w:rsid w:val="00353E36"/>
    <w:rsid w:val="003554E0"/>
    <w:rsid w:val="00355B64"/>
    <w:rsid w:val="00355DBF"/>
    <w:rsid w:val="00356991"/>
    <w:rsid w:val="003576FF"/>
    <w:rsid w:val="00357F80"/>
    <w:rsid w:val="0036003F"/>
    <w:rsid w:val="003622B7"/>
    <w:rsid w:val="0036304D"/>
    <w:rsid w:val="003631B2"/>
    <w:rsid w:val="00363764"/>
    <w:rsid w:val="0036462F"/>
    <w:rsid w:val="00364BA1"/>
    <w:rsid w:val="00366B36"/>
    <w:rsid w:val="00367A4B"/>
    <w:rsid w:val="00372887"/>
    <w:rsid w:val="00373EDC"/>
    <w:rsid w:val="00374404"/>
    <w:rsid w:val="003752A0"/>
    <w:rsid w:val="00375C4D"/>
    <w:rsid w:val="0037629E"/>
    <w:rsid w:val="00380A73"/>
    <w:rsid w:val="00380DD7"/>
    <w:rsid w:val="00382F29"/>
    <w:rsid w:val="00384AF1"/>
    <w:rsid w:val="00385A79"/>
    <w:rsid w:val="00386385"/>
    <w:rsid w:val="00386798"/>
    <w:rsid w:val="00387555"/>
    <w:rsid w:val="0039006E"/>
    <w:rsid w:val="00391AD2"/>
    <w:rsid w:val="0039248C"/>
    <w:rsid w:val="003928A8"/>
    <w:rsid w:val="0039343C"/>
    <w:rsid w:val="00393527"/>
    <w:rsid w:val="00393B9D"/>
    <w:rsid w:val="00394823"/>
    <w:rsid w:val="003955A0"/>
    <w:rsid w:val="00395CA3"/>
    <w:rsid w:val="0039730F"/>
    <w:rsid w:val="0039786B"/>
    <w:rsid w:val="003978DA"/>
    <w:rsid w:val="003A13B4"/>
    <w:rsid w:val="003A47A3"/>
    <w:rsid w:val="003A72AE"/>
    <w:rsid w:val="003B04B0"/>
    <w:rsid w:val="003B1262"/>
    <w:rsid w:val="003B2F0B"/>
    <w:rsid w:val="003B3769"/>
    <w:rsid w:val="003B436C"/>
    <w:rsid w:val="003B4A8D"/>
    <w:rsid w:val="003B4EFB"/>
    <w:rsid w:val="003B5D7A"/>
    <w:rsid w:val="003B72C4"/>
    <w:rsid w:val="003C276B"/>
    <w:rsid w:val="003C3908"/>
    <w:rsid w:val="003C48B6"/>
    <w:rsid w:val="003C4D0F"/>
    <w:rsid w:val="003C6764"/>
    <w:rsid w:val="003C6B6D"/>
    <w:rsid w:val="003C6E53"/>
    <w:rsid w:val="003C7C89"/>
    <w:rsid w:val="003D06AF"/>
    <w:rsid w:val="003D4318"/>
    <w:rsid w:val="003D58EA"/>
    <w:rsid w:val="003D5F92"/>
    <w:rsid w:val="003D6200"/>
    <w:rsid w:val="003D66C8"/>
    <w:rsid w:val="003D6B2B"/>
    <w:rsid w:val="003E0375"/>
    <w:rsid w:val="003E2B21"/>
    <w:rsid w:val="003E4422"/>
    <w:rsid w:val="003E4FF7"/>
    <w:rsid w:val="003E5D9E"/>
    <w:rsid w:val="003E7EEF"/>
    <w:rsid w:val="003F0358"/>
    <w:rsid w:val="003F1AAC"/>
    <w:rsid w:val="003F35EF"/>
    <w:rsid w:val="003F3B35"/>
    <w:rsid w:val="003F470F"/>
    <w:rsid w:val="003F4D39"/>
    <w:rsid w:val="003F5B78"/>
    <w:rsid w:val="004011FF"/>
    <w:rsid w:val="00402689"/>
    <w:rsid w:val="00404750"/>
    <w:rsid w:val="00404BE7"/>
    <w:rsid w:val="004052B2"/>
    <w:rsid w:val="00405B21"/>
    <w:rsid w:val="00405C0C"/>
    <w:rsid w:val="00405FC1"/>
    <w:rsid w:val="00405FFB"/>
    <w:rsid w:val="00406F4B"/>
    <w:rsid w:val="00410B6F"/>
    <w:rsid w:val="004115E0"/>
    <w:rsid w:val="00412253"/>
    <w:rsid w:val="0041320C"/>
    <w:rsid w:val="004146E8"/>
    <w:rsid w:val="00415770"/>
    <w:rsid w:val="00415FC6"/>
    <w:rsid w:val="004173A2"/>
    <w:rsid w:val="004179EB"/>
    <w:rsid w:val="004232B9"/>
    <w:rsid w:val="004235B1"/>
    <w:rsid w:val="00423722"/>
    <w:rsid w:val="00423CAE"/>
    <w:rsid w:val="00424784"/>
    <w:rsid w:val="00425BA5"/>
    <w:rsid w:val="00425CC1"/>
    <w:rsid w:val="00426711"/>
    <w:rsid w:val="00427102"/>
    <w:rsid w:val="00430270"/>
    <w:rsid w:val="00430387"/>
    <w:rsid w:val="004303BA"/>
    <w:rsid w:val="00433F53"/>
    <w:rsid w:val="00434060"/>
    <w:rsid w:val="00436E44"/>
    <w:rsid w:val="00437173"/>
    <w:rsid w:val="0043755D"/>
    <w:rsid w:val="0044012A"/>
    <w:rsid w:val="00441D52"/>
    <w:rsid w:val="00442312"/>
    <w:rsid w:val="00442FD1"/>
    <w:rsid w:val="004432F6"/>
    <w:rsid w:val="004437E9"/>
    <w:rsid w:val="004443BE"/>
    <w:rsid w:val="004446C5"/>
    <w:rsid w:val="00444C0E"/>
    <w:rsid w:val="00446775"/>
    <w:rsid w:val="004469F9"/>
    <w:rsid w:val="00446D56"/>
    <w:rsid w:val="00446F85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6AC9"/>
    <w:rsid w:val="0046020B"/>
    <w:rsid w:val="004619D4"/>
    <w:rsid w:val="00461BFF"/>
    <w:rsid w:val="0046257E"/>
    <w:rsid w:val="00463764"/>
    <w:rsid w:val="004642C0"/>
    <w:rsid w:val="0046775E"/>
    <w:rsid w:val="0047009B"/>
    <w:rsid w:val="00470A8F"/>
    <w:rsid w:val="00470D92"/>
    <w:rsid w:val="00472CFC"/>
    <w:rsid w:val="00473A5E"/>
    <w:rsid w:val="00474D14"/>
    <w:rsid w:val="00475510"/>
    <w:rsid w:val="0047586E"/>
    <w:rsid w:val="00475D67"/>
    <w:rsid w:val="004808F8"/>
    <w:rsid w:val="00480E9D"/>
    <w:rsid w:val="004813BB"/>
    <w:rsid w:val="00484A36"/>
    <w:rsid w:val="00485168"/>
    <w:rsid w:val="004851ED"/>
    <w:rsid w:val="0048588A"/>
    <w:rsid w:val="00487C49"/>
    <w:rsid w:val="00487D31"/>
    <w:rsid w:val="00490397"/>
    <w:rsid w:val="00490692"/>
    <w:rsid w:val="00490AE2"/>
    <w:rsid w:val="00494711"/>
    <w:rsid w:val="00494AD0"/>
    <w:rsid w:val="004952D7"/>
    <w:rsid w:val="0049581D"/>
    <w:rsid w:val="00495C7D"/>
    <w:rsid w:val="00496108"/>
    <w:rsid w:val="00496192"/>
    <w:rsid w:val="00497373"/>
    <w:rsid w:val="00497823"/>
    <w:rsid w:val="00497E27"/>
    <w:rsid w:val="004A0830"/>
    <w:rsid w:val="004A0E05"/>
    <w:rsid w:val="004A11C7"/>
    <w:rsid w:val="004A18D7"/>
    <w:rsid w:val="004A1B26"/>
    <w:rsid w:val="004A2E50"/>
    <w:rsid w:val="004A49DD"/>
    <w:rsid w:val="004A4A80"/>
    <w:rsid w:val="004A5489"/>
    <w:rsid w:val="004A5BA9"/>
    <w:rsid w:val="004B0C50"/>
    <w:rsid w:val="004B4B2F"/>
    <w:rsid w:val="004B54A3"/>
    <w:rsid w:val="004B7AD5"/>
    <w:rsid w:val="004C17CB"/>
    <w:rsid w:val="004C20EC"/>
    <w:rsid w:val="004C420E"/>
    <w:rsid w:val="004C432A"/>
    <w:rsid w:val="004C6C35"/>
    <w:rsid w:val="004C7929"/>
    <w:rsid w:val="004C7B3B"/>
    <w:rsid w:val="004D0248"/>
    <w:rsid w:val="004D0BDF"/>
    <w:rsid w:val="004D270A"/>
    <w:rsid w:val="004D3A0B"/>
    <w:rsid w:val="004D469E"/>
    <w:rsid w:val="004D4B67"/>
    <w:rsid w:val="004D4F66"/>
    <w:rsid w:val="004D6DAE"/>
    <w:rsid w:val="004D7D30"/>
    <w:rsid w:val="004E149A"/>
    <w:rsid w:val="004E1CD8"/>
    <w:rsid w:val="004E27A9"/>
    <w:rsid w:val="004E3A57"/>
    <w:rsid w:val="004E4113"/>
    <w:rsid w:val="004E472B"/>
    <w:rsid w:val="004E4BBD"/>
    <w:rsid w:val="004E5018"/>
    <w:rsid w:val="004E5200"/>
    <w:rsid w:val="004E551F"/>
    <w:rsid w:val="004E5EFE"/>
    <w:rsid w:val="004E66AC"/>
    <w:rsid w:val="004E6B7B"/>
    <w:rsid w:val="004E6DDA"/>
    <w:rsid w:val="004E70AD"/>
    <w:rsid w:val="004E7D7F"/>
    <w:rsid w:val="004E7F6A"/>
    <w:rsid w:val="004F064A"/>
    <w:rsid w:val="004F0FD3"/>
    <w:rsid w:val="004F1D5B"/>
    <w:rsid w:val="004F3ABE"/>
    <w:rsid w:val="004F3FEB"/>
    <w:rsid w:val="004F5454"/>
    <w:rsid w:val="004F5B37"/>
    <w:rsid w:val="004F6AEC"/>
    <w:rsid w:val="005014CD"/>
    <w:rsid w:val="00501793"/>
    <w:rsid w:val="005026C1"/>
    <w:rsid w:val="005048C3"/>
    <w:rsid w:val="00505BFD"/>
    <w:rsid w:val="0050663F"/>
    <w:rsid w:val="005074D5"/>
    <w:rsid w:val="00510AA1"/>
    <w:rsid w:val="00511788"/>
    <w:rsid w:val="00511E6F"/>
    <w:rsid w:val="005127CE"/>
    <w:rsid w:val="00512879"/>
    <w:rsid w:val="00512D17"/>
    <w:rsid w:val="00513265"/>
    <w:rsid w:val="00513282"/>
    <w:rsid w:val="005151BE"/>
    <w:rsid w:val="005204CB"/>
    <w:rsid w:val="00520F5C"/>
    <w:rsid w:val="0052211A"/>
    <w:rsid w:val="00522208"/>
    <w:rsid w:val="005240BD"/>
    <w:rsid w:val="00524404"/>
    <w:rsid w:val="00524BCF"/>
    <w:rsid w:val="00524F37"/>
    <w:rsid w:val="00525AEA"/>
    <w:rsid w:val="00525FA8"/>
    <w:rsid w:val="005272D8"/>
    <w:rsid w:val="005300D5"/>
    <w:rsid w:val="00530B7D"/>
    <w:rsid w:val="005310E8"/>
    <w:rsid w:val="00531EA2"/>
    <w:rsid w:val="00532D90"/>
    <w:rsid w:val="00532F66"/>
    <w:rsid w:val="00533D48"/>
    <w:rsid w:val="00535A6B"/>
    <w:rsid w:val="005371B9"/>
    <w:rsid w:val="00537869"/>
    <w:rsid w:val="005419E9"/>
    <w:rsid w:val="00541DC9"/>
    <w:rsid w:val="00542475"/>
    <w:rsid w:val="005440CF"/>
    <w:rsid w:val="0054498A"/>
    <w:rsid w:val="0054516B"/>
    <w:rsid w:val="005458FE"/>
    <w:rsid w:val="00545910"/>
    <w:rsid w:val="00546397"/>
    <w:rsid w:val="00550757"/>
    <w:rsid w:val="00550C9C"/>
    <w:rsid w:val="00551444"/>
    <w:rsid w:val="005516A8"/>
    <w:rsid w:val="005533C4"/>
    <w:rsid w:val="00554741"/>
    <w:rsid w:val="0055482E"/>
    <w:rsid w:val="0055504C"/>
    <w:rsid w:val="005602F8"/>
    <w:rsid w:val="00560786"/>
    <w:rsid w:val="00560B81"/>
    <w:rsid w:val="0056154E"/>
    <w:rsid w:val="005621C6"/>
    <w:rsid w:val="0056268F"/>
    <w:rsid w:val="00564802"/>
    <w:rsid w:val="005653D8"/>
    <w:rsid w:val="00565C3C"/>
    <w:rsid w:val="005661CB"/>
    <w:rsid w:val="00566974"/>
    <w:rsid w:val="00567623"/>
    <w:rsid w:val="00570417"/>
    <w:rsid w:val="0057085B"/>
    <w:rsid w:val="00570C6B"/>
    <w:rsid w:val="0057169A"/>
    <w:rsid w:val="00571AA7"/>
    <w:rsid w:val="00572DF6"/>
    <w:rsid w:val="00573388"/>
    <w:rsid w:val="00573AB6"/>
    <w:rsid w:val="00577D77"/>
    <w:rsid w:val="00580725"/>
    <w:rsid w:val="005807CD"/>
    <w:rsid w:val="005811B9"/>
    <w:rsid w:val="00581CAA"/>
    <w:rsid w:val="0058245E"/>
    <w:rsid w:val="00583C1D"/>
    <w:rsid w:val="0058608A"/>
    <w:rsid w:val="00586657"/>
    <w:rsid w:val="0058695B"/>
    <w:rsid w:val="00586FDE"/>
    <w:rsid w:val="00587B6A"/>
    <w:rsid w:val="00587C9B"/>
    <w:rsid w:val="00587F5D"/>
    <w:rsid w:val="00590B17"/>
    <w:rsid w:val="00590E5A"/>
    <w:rsid w:val="005940D1"/>
    <w:rsid w:val="00594E34"/>
    <w:rsid w:val="00595908"/>
    <w:rsid w:val="00596B3D"/>
    <w:rsid w:val="005975D0"/>
    <w:rsid w:val="005A0477"/>
    <w:rsid w:val="005A07E1"/>
    <w:rsid w:val="005A153A"/>
    <w:rsid w:val="005A2279"/>
    <w:rsid w:val="005A2BB7"/>
    <w:rsid w:val="005A3A8D"/>
    <w:rsid w:val="005A4ADA"/>
    <w:rsid w:val="005A621F"/>
    <w:rsid w:val="005A6F2F"/>
    <w:rsid w:val="005A7757"/>
    <w:rsid w:val="005B1B21"/>
    <w:rsid w:val="005B283E"/>
    <w:rsid w:val="005B2D6F"/>
    <w:rsid w:val="005B3A18"/>
    <w:rsid w:val="005B3E88"/>
    <w:rsid w:val="005B41AA"/>
    <w:rsid w:val="005B4F61"/>
    <w:rsid w:val="005B57EF"/>
    <w:rsid w:val="005B6905"/>
    <w:rsid w:val="005B724E"/>
    <w:rsid w:val="005C0B5C"/>
    <w:rsid w:val="005C1BDD"/>
    <w:rsid w:val="005C5968"/>
    <w:rsid w:val="005C7707"/>
    <w:rsid w:val="005D0FDB"/>
    <w:rsid w:val="005D133C"/>
    <w:rsid w:val="005D18F5"/>
    <w:rsid w:val="005D1B9A"/>
    <w:rsid w:val="005D27B7"/>
    <w:rsid w:val="005D33D4"/>
    <w:rsid w:val="005D5637"/>
    <w:rsid w:val="005D5CF2"/>
    <w:rsid w:val="005D5E76"/>
    <w:rsid w:val="005D72FB"/>
    <w:rsid w:val="005D780C"/>
    <w:rsid w:val="005D7836"/>
    <w:rsid w:val="005D7FCA"/>
    <w:rsid w:val="005E1232"/>
    <w:rsid w:val="005E28ED"/>
    <w:rsid w:val="005E2EE9"/>
    <w:rsid w:val="005E2F7A"/>
    <w:rsid w:val="005E37DA"/>
    <w:rsid w:val="005E4206"/>
    <w:rsid w:val="005E4217"/>
    <w:rsid w:val="005E485F"/>
    <w:rsid w:val="005F023A"/>
    <w:rsid w:val="005F2729"/>
    <w:rsid w:val="005F2A98"/>
    <w:rsid w:val="005F3758"/>
    <w:rsid w:val="005F71F9"/>
    <w:rsid w:val="006002AA"/>
    <w:rsid w:val="00602B35"/>
    <w:rsid w:val="006031F5"/>
    <w:rsid w:val="006033AD"/>
    <w:rsid w:val="006041DA"/>
    <w:rsid w:val="0060698B"/>
    <w:rsid w:val="00611C67"/>
    <w:rsid w:val="00612D84"/>
    <w:rsid w:val="00613C6D"/>
    <w:rsid w:val="00614076"/>
    <w:rsid w:val="00614E5A"/>
    <w:rsid w:val="00616235"/>
    <w:rsid w:val="00617492"/>
    <w:rsid w:val="00620244"/>
    <w:rsid w:val="00620B8A"/>
    <w:rsid w:val="00620CAC"/>
    <w:rsid w:val="00621BB1"/>
    <w:rsid w:val="00621BC9"/>
    <w:rsid w:val="0062275E"/>
    <w:rsid w:val="00624351"/>
    <w:rsid w:val="0062554E"/>
    <w:rsid w:val="00630230"/>
    <w:rsid w:val="0063072A"/>
    <w:rsid w:val="00630BEB"/>
    <w:rsid w:val="00631233"/>
    <w:rsid w:val="006316F4"/>
    <w:rsid w:val="0063197E"/>
    <w:rsid w:val="00633689"/>
    <w:rsid w:val="00634739"/>
    <w:rsid w:val="00636EB6"/>
    <w:rsid w:val="006409FD"/>
    <w:rsid w:val="00640B8B"/>
    <w:rsid w:val="00640FE7"/>
    <w:rsid w:val="00640FEF"/>
    <w:rsid w:val="00642E98"/>
    <w:rsid w:val="00643AB4"/>
    <w:rsid w:val="00643E28"/>
    <w:rsid w:val="00644CF4"/>
    <w:rsid w:val="00645153"/>
    <w:rsid w:val="006455B7"/>
    <w:rsid w:val="006455B8"/>
    <w:rsid w:val="00645EF2"/>
    <w:rsid w:val="00646223"/>
    <w:rsid w:val="006467F4"/>
    <w:rsid w:val="00646949"/>
    <w:rsid w:val="00646C2F"/>
    <w:rsid w:val="0064732B"/>
    <w:rsid w:val="00647993"/>
    <w:rsid w:val="00650304"/>
    <w:rsid w:val="006511EF"/>
    <w:rsid w:val="00652816"/>
    <w:rsid w:val="006529FA"/>
    <w:rsid w:val="006535F8"/>
    <w:rsid w:val="006536E0"/>
    <w:rsid w:val="00653B45"/>
    <w:rsid w:val="0065485F"/>
    <w:rsid w:val="006548B7"/>
    <w:rsid w:val="00656745"/>
    <w:rsid w:val="00657376"/>
    <w:rsid w:val="00657A30"/>
    <w:rsid w:val="00657D67"/>
    <w:rsid w:val="00657F6A"/>
    <w:rsid w:val="00660EA6"/>
    <w:rsid w:val="00661FE9"/>
    <w:rsid w:val="00663B7B"/>
    <w:rsid w:val="006640FF"/>
    <w:rsid w:val="00664D3E"/>
    <w:rsid w:val="00664E77"/>
    <w:rsid w:val="00665127"/>
    <w:rsid w:val="006651FB"/>
    <w:rsid w:val="00667145"/>
    <w:rsid w:val="006673BB"/>
    <w:rsid w:val="006707F5"/>
    <w:rsid w:val="00670AD9"/>
    <w:rsid w:val="006712D9"/>
    <w:rsid w:val="006713C2"/>
    <w:rsid w:val="00671713"/>
    <w:rsid w:val="00672EDC"/>
    <w:rsid w:val="00673AE4"/>
    <w:rsid w:val="00673B51"/>
    <w:rsid w:val="0067402D"/>
    <w:rsid w:val="00674190"/>
    <w:rsid w:val="00675CCA"/>
    <w:rsid w:val="00675D78"/>
    <w:rsid w:val="00675E56"/>
    <w:rsid w:val="0067632C"/>
    <w:rsid w:val="00677740"/>
    <w:rsid w:val="00677934"/>
    <w:rsid w:val="00677A85"/>
    <w:rsid w:val="006805A5"/>
    <w:rsid w:val="006809F1"/>
    <w:rsid w:val="00680B51"/>
    <w:rsid w:val="00682018"/>
    <w:rsid w:val="006821E3"/>
    <w:rsid w:val="00684686"/>
    <w:rsid w:val="00685B14"/>
    <w:rsid w:val="00685DB6"/>
    <w:rsid w:val="006905CA"/>
    <w:rsid w:val="0069192E"/>
    <w:rsid w:val="0069299B"/>
    <w:rsid w:val="00693518"/>
    <w:rsid w:val="006941A0"/>
    <w:rsid w:val="00694C51"/>
    <w:rsid w:val="006955E7"/>
    <w:rsid w:val="00695FCF"/>
    <w:rsid w:val="00696965"/>
    <w:rsid w:val="00696DDA"/>
    <w:rsid w:val="006970D5"/>
    <w:rsid w:val="006A013E"/>
    <w:rsid w:val="006A135C"/>
    <w:rsid w:val="006A4A18"/>
    <w:rsid w:val="006A4CFB"/>
    <w:rsid w:val="006A65B1"/>
    <w:rsid w:val="006A704A"/>
    <w:rsid w:val="006A71A2"/>
    <w:rsid w:val="006B0322"/>
    <w:rsid w:val="006B0DD2"/>
    <w:rsid w:val="006B2505"/>
    <w:rsid w:val="006B4075"/>
    <w:rsid w:val="006B4598"/>
    <w:rsid w:val="006B55BE"/>
    <w:rsid w:val="006B57A0"/>
    <w:rsid w:val="006B5E7A"/>
    <w:rsid w:val="006B62B7"/>
    <w:rsid w:val="006B6956"/>
    <w:rsid w:val="006C087D"/>
    <w:rsid w:val="006C09E3"/>
    <w:rsid w:val="006C0A34"/>
    <w:rsid w:val="006C1668"/>
    <w:rsid w:val="006C2E4C"/>
    <w:rsid w:val="006C3647"/>
    <w:rsid w:val="006C3B4B"/>
    <w:rsid w:val="006C41FF"/>
    <w:rsid w:val="006C4A20"/>
    <w:rsid w:val="006C4E62"/>
    <w:rsid w:val="006C6AAB"/>
    <w:rsid w:val="006C7C8E"/>
    <w:rsid w:val="006D1D72"/>
    <w:rsid w:val="006D27F0"/>
    <w:rsid w:val="006D2EBE"/>
    <w:rsid w:val="006D30E8"/>
    <w:rsid w:val="006D502F"/>
    <w:rsid w:val="006D5067"/>
    <w:rsid w:val="006D5713"/>
    <w:rsid w:val="006D6623"/>
    <w:rsid w:val="006E1EA3"/>
    <w:rsid w:val="006E265E"/>
    <w:rsid w:val="006E27FD"/>
    <w:rsid w:val="006E4DAD"/>
    <w:rsid w:val="006E5584"/>
    <w:rsid w:val="006E6CC2"/>
    <w:rsid w:val="006E721E"/>
    <w:rsid w:val="006E7A62"/>
    <w:rsid w:val="006F09F2"/>
    <w:rsid w:val="006F16C8"/>
    <w:rsid w:val="006F5C05"/>
    <w:rsid w:val="006F5E1D"/>
    <w:rsid w:val="006F6ADA"/>
    <w:rsid w:val="006F707F"/>
    <w:rsid w:val="006F70DE"/>
    <w:rsid w:val="00701DCC"/>
    <w:rsid w:val="0070382E"/>
    <w:rsid w:val="0070459E"/>
    <w:rsid w:val="0070621C"/>
    <w:rsid w:val="00706682"/>
    <w:rsid w:val="00706EDE"/>
    <w:rsid w:val="00707993"/>
    <w:rsid w:val="0071123A"/>
    <w:rsid w:val="00711E25"/>
    <w:rsid w:val="00712AC4"/>
    <w:rsid w:val="00712FB7"/>
    <w:rsid w:val="007138CC"/>
    <w:rsid w:val="0071439B"/>
    <w:rsid w:val="00714EA4"/>
    <w:rsid w:val="00715755"/>
    <w:rsid w:val="00715A96"/>
    <w:rsid w:val="00720199"/>
    <w:rsid w:val="0072122E"/>
    <w:rsid w:val="007232BF"/>
    <w:rsid w:val="00723B85"/>
    <w:rsid w:val="007250D3"/>
    <w:rsid w:val="007257B8"/>
    <w:rsid w:val="00727A83"/>
    <w:rsid w:val="00730A03"/>
    <w:rsid w:val="0073174A"/>
    <w:rsid w:val="007318EF"/>
    <w:rsid w:val="00732468"/>
    <w:rsid w:val="00732503"/>
    <w:rsid w:val="007333BE"/>
    <w:rsid w:val="007335A8"/>
    <w:rsid w:val="00735079"/>
    <w:rsid w:val="0073593C"/>
    <w:rsid w:val="0073697C"/>
    <w:rsid w:val="00736A14"/>
    <w:rsid w:val="00737013"/>
    <w:rsid w:val="0073764E"/>
    <w:rsid w:val="00737DDD"/>
    <w:rsid w:val="00741006"/>
    <w:rsid w:val="00743AC6"/>
    <w:rsid w:val="00744072"/>
    <w:rsid w:val="00747D3C"/>
    <w:rsid w:val="0075099D"/>
    <w:rsid w:val="00750E1A"/>
    <w:rsid w:val="00752052"/>
    <w:rsid w:val="007528DF"/>
    <w:rsid w:val="00754335"/>
    <w:rsid w:val="00754D59"/>
    <w:rsid w:val="00754EA3"/>
    <w:rsid w:val="00756B84"/>
    <w:rsid w:val="00757A75"/>
    <w:rsid w:val="00757B7B"/>
    <w:rsid w:val="00760136"/>
    <w:rsid w:val="00760496"/>
    <w:rsid w:val="0076053B"/>
    <w:rsid w:val="00760808"/>
    <w:rsid w:val="007622E3"/>
    <w:rsid w:val="00762B0D"/>
    <w:rsid w:val="00763FB0"/>
    <w:rsid w:val="007644E5"/>
    <w:rsid w:val="00765150"/>
    <w:rsid w:val="00766DD2"/>
    <w:rsid w:val="007675EB"/>
    <w:rsid w:val="00770D2D"/>
    <w:rsid w:val="00770D5D"/>
    <w:rsid w:val="00771FBC"/>
    <w:rsid w:val="00772C0B"/>
    <w:rsid w:val="00772E3A"/>
    <w:rsid w:val="007738D0"/>
    <w:rsid w:val="00773EC0"/>
    <w:rsid w:val="00774DA4"/>
    <w:rsid w:val="00774E33"/>
    <w:rsid w:val="00774F7B"/>
    <w:rsid w:val="0077567A"/>
    <w:rsid w:val="00775DA1"/>
    <w:rsid w:val="00775F4F"/>
    <w:rsid w:val="00777690"/>
    <w:rsid w:val="00777C0A"/>
    <w:rsid w:val="00780533"/>
    <w:rsid w:val="00783A0B"/>
    <w:rsid w:val="00784DD0"/>
    <w:rsid w:val="00785B9B"/>
    <w:rsid w:val="0078737D"/>
    <w:rsid w:val="00787F94"/>
    <w:rsid w:val="00790464"/>
    <w:rsid w:val="0079112A"/>
    <w:rsid w:val="00791D81"/>
    <w:rsid w:val="0079362D"/>
    <w:rsid w:val="007939B6"/>
    <w:rsid w:val="00794997"/>
    <w:rsid w:val="0079622D"/>
    <w:rsid w:val="007964C7"/>
    <w:rsid w:val="007A1600"/>
    <w:rsid w:val="007A1B16"/>
    <w:rsid w:val="007A35B4"/>
    <w:rsid w:val="007A4846"/>
    <w:rsid w:val="007A4969"/>
    <w:rsid w:val="007A5746"/>
    <w:rsid w:val="007A66DF"/>
    <w:rsid w:val="007A6D9A"/>
    <w:rsid w:val="007A6FD9"/>
    <w:rsid w:val="007A763A"/>
    <w:rsid w:val="007A7C15"/>
    <w:rsid w:val="007B01D2"/>
    <w:rsid w:val="007B05F7"/>
    <w:rsid w:val="007B0717"/>
    <w:rsid w:val="007B0EF5"/>
    <w:rsid w:val="007B14C5"/>
    <w:rsid w:val="007B1924"/>
    <w:rsid w:val="007B199A"/>
    <w:rsid w:val="007B1BA6"/>
    <w:rsid w:val="007B1EBA"/>
    <w:rsid w:val="007B22ED"/>
    <w:rsid w:val="007B2669"/>
    <w:rsid w:val="007B48F8"/>
    <w:rsid w:val="007B51E6"/>
    <w:rsid w:val="007B53A9"/>
    <w:rsid w:val="007B55B5"/>
    <w:rsid w:val="007B5624"/>
    <w:rsid w:val="007B6CC9"/>
    <w:rsid w:val="007C249E"/>
    <w:rsid w:val="007C322E"/>
    <w:rsid w:val="007C3D92"/>
    <w:rsid w:val="007C5420"/>
    <w:rsid w:val="007C6133"/>
    <w:rsid w:val="007D00C2"/>
    <w:rsid w:val="007D06C0"/>
    <w:rsid w:val="007D076E"/>
    <w:rsid w:val="007D1008"/>
    <w:rsid w:val="007D1B67"/>
    <w:rsid w:val="007D241A"/>
    <w:rsid w:val="007D2672"/>
    <w:rsid w:val="007D382E"/>
    <w:rsid w:val="007D4B6B"/>
    <w:rsid w:val="007D62DC"/>
    <w:rsid w:val="007D6B1D"/>
    <w:rsid w:val="007D7930"/>
    <w:rsid w:val="007D7CCF"/>
    <w:rsid w:val="007E0965"/>
    <w:rsid w:val="007E58BF"/>
    <w:rsid w:val="007E728E"/>
    <w:rsid w:val="007E784C"/>
    <w:rsid w:val="007F0756"/>
    <w:rsid w:val="007F130A"/>
    <w:rsid w:val="007F1C0D"/>
    <w:rsid w:val="007F1E22"/>
    <w:rsid w:val="007F3D4F"/>
    <w:rsid w:val="007F46C8"/>
    <w:rsid w:val="007F52BD"/>
    <w:rsid w:val="007F5D18"/>
    <w:rsid w:val="007F6F87"/>
    <w:rsid w:val="007F7F83"/>
    <w:rsid w:val="00801420"/>
    <w:rsid w:val="00802069"/>
    <w:rsid w:val="008025DC"/>
    <w:rsid w:val="00802652"/>
    <w:rsid w:val="00802D8D"/>
    <w:rsid w:val="00803C62"/>
    <w:rsid w:val="00806DED"/>
    <w:rsid w:val="00806EB6"/>
    <w:rsid w:val="00806EC8"/>
    <w:rsid w:val="00807EEF"/>
    <w:rsid w:val="008135C7"/>
    <w:rsid w:val="00813D95"/>
    <w:rsid w:val="00814CE9"/>
    <w:rsid w:val="00815D4F"/>
    <w:rsid w:val="00815D73"/>
    <w:rsid w:val="00816DAA"/>
    <w:rsid w:val="008176D9"/>
    <w:rsid w:val="00817D1E"/>
    <w:rsid w:val="00817DDD"/>
    <w:rsid w:val="00820BE1"/>
    <w:rsid w:val="008247D3"/>
    <w:rsid w:val="00825AEA"/>
    <w:rsid w:val="00825BCB"/>
    <w:rsid w:val="0082609D"/>
    <w:rsid w:val="008270A6"/>
    <w:rsid w:val="008277E5"/>
    <w:rsid w:val="00827BB7"/>
    <w:rsid w:val="00831988"/>
    <w:rsid w:val="00831DA7"/>
    <w:rsid w:val="00832233"/>
    <w:rsid w:val="00832428"/>
    <w:rsid w:val="00832BDC"/>
    <w:rsid w:val="008335D7"/>
    <w:rsid w:val="0083364D"/>
    <w:rsid w:val="00833E10"/>
    <w:rsid w:val="008340F1"/>
    <w:rsid w:val="00834A4A"/>
    <w:rsid w:val="0083539A"/>
    <w:rsid w:val="0083564F"/>
    <w:rsid w:val="008356C6"/>
    <w:rsid w:val="0083673F"/>
    <w:rsid w:val="008379ED"/>
    <w:rsid w:val="00837B9C"/>
    <w:rsid w:val="00837DD9"/>
    <w:rsid w:val="008400AF"/>
    <w:rsid w:val="008409F8"/>
    <w:rsid w:val="00841E0B"/>
    <w:rsid w:val="008421FA"/>
    <w:rsid w:val="00844028"/>
    <w:rsid w:val="0084493B"/>
    <w:rsid w:val="00844B59"/>
    <w:rsid w:val="00844F82"/>
    <w:rsid w:val="00845D51"/>
    <w:rsid w:val="0084638C"/>
    <w:rsid w:val="008469EE"/>
    <w:rsid w:val="00851085"/>
    <w:rsid w:val="008513F9"/>
    <w:rsid w:val="008521CA"/>
    <w:rsid w:val="00852852"/>
    <w:rsid w:val="008532B7"/>
    <w:rsid w:val="008566B3"/>
    <w:rsid w:val="00856765"/>
    <w:rsid w:val="0085760A"/>
    <w:rsid w:val="00862746"/>
    <w:rsid w:val="008638C5"/>
    <w:rsid w:val="00864335"/>
    <w:rsid w:val="008660A5"/>
    <w:rsid w:val="00867247"/>
    <w:rsid w:val="00867980"/>
    <w:rsid w:val="00867AEB"/>
    <w:rsid w:val="008727DE"/>
    <w:rsid w:val="008737DB"/>
    <w:rsid w:val="0087608D"/>
    <w:rsid w:val="008775A4"/>
    <w:rsid w:val="0088010B"/>
    <w:rsid w:val="008809B6"/>
    <w:rsid w:val="00881122"/>
    <w:rsid w:val="00881AF4"/>
    <w:rsid w:val="008826A3"/>
    <w:rsid w:val="008834FE"/>
    <w:rsid w:val="00883BC1"/>
    <w:rsid w:val="00883ED7"/>
    <w:rsid w:val="00884AE7"/>
    <w:rsid w:val="0088568F"/>
    <w:rsid w:val="00886263"/>
    <w:rsid w:val="00886365"/>
    <w:rsid w:val="00886EC5"/>
    <w:rsid w:val="00890070"/>
    <w:rsid w:val="00890405"/>
    <w:rsid w:val="008920DC"/>
    <w:rsid w:val="008927EE"/>
    <w:rsid w:val="00892C6D"/>
    <w:rsid w:val="00895562"/>
    <w:rsid w:val="008956D1"/>
    <w:rsid w:val="008957EF"/>
    <w:rsid w:val="00895BB6"/>
    <w:rsid w:val="008963E8"/>
    <w:rsid w:val="008972B2"/>
    <w:rsid w:val="008976A1"/>
    <w:rsid w:val="00897928"/>
    <w:rsid w:val="00897CA1"/>
    <w:rsid w:val="008A0BDA"/>
    <w:rsid w:val="008A0E25"/>
    <w:rsid w:val="008A1766"/>
    <w:rsid w:val="008A1D53"/>
    <w:rsid w:val="008A2949"/>
    <w:rsid w:val="008A5013"/>
    <w:rsid w:val="008A6231"/>
    <w:rsid w:val="008B04F8"/>
    <w:rsid w:val="008B0CEC"/>
    <w:rsid w:val="008B2BA7"/>
    <w:rsid w:val="008B3494"/>
    <w:rsid w:val="008B3612"/>
    <w:rsid w:val="008B3ACD"/>
    <w:rsid w:val="008B4318"/>
    <w:rsid w:val="008B4960"/>
    <w:rsid w:val="008B5FC3"/>
    <w:rsid w:val="008B6370"/>
    <w:rsid w:val="008B7022"/>
    <w:rsid w:val="008B743F"/>
    <w:rsid w:val="008C0A82"/>
    <w:rsid w:val="008C4980"/>
    <w:rsid w:val="008C55C7"/>
    <w:rsid w:val="008C5798"/>
    <w:rsid w:val="008D0FDD"/>
    <w:rsid w:val="008D1B70"/>
    <w:rsid w:val="008D2BDD"/>
    <w:rsid w:val="008D2FFE"/>
    <w:rsid w:val="008D33F8"/>
    <w:rsid w:val="008D39AA"/>
    <w:rsid w:val="008D3BD3"/>
    <w:rsid w:val="008D4BC6"/>
    <w:rsid w:val="008D5631"/>
    <w:rsid w:val="008E190A"/>
    <w:rsid w:val="008E1E5D"/>
    <w:rsid w:val="008E2453"/>
    <w:rsid w:val="008E4AD4"/>
    <w:rsid w:val="008E5479"/>
    <w:rsid w:val="008E5A77"/>
    <w:rsid w:val="008E5DAE"/>
    <w:rsid w:val="008E62DE"/>
    <w:rsid w:val="008E78E9"/>
    <w:rsid w:val="008F1521"/>
    <w:rsid w:val="008F1906"/>
    <w:rsid w:val="008F1F12"/>
    <w:rsid w:val="008F2550"/>
    <w:rsid w:val="008F2BFA"/>
    <w:rsid w:val="008F2E54"/>
    <w:rsid w:val="008F43E5"/>
    <w:rsid w:val="008F5A3B"/>
    <w:rsid w:val="008F6975"/>
    <w:rsid w:val="008F6A13"/>
    <w:rsid w:val="008F72C4"/>
    <w:rsid w:val="00900A5F"/>
    <w:rsid w:val="009011F3"/>
    <w:rsid w:val="00901837"/>
    <w:rsid w:val="00902108"/>
    <w:rsid w:val="00902865"/>
    <w:rsid w:val="009030D3"/>
    <w:rsid w:val="00903342"/>
    <w:rsid w:val="00904FBD"/>
    <w:rsid w:val="00906DD1"/>
    <w:rsid w:val="009117A8"/>
    <w:rsid w:val="009168AE"/>
    <w:rsid w:val="00916E8D"/>
    <w:rsid w:val="009171F5"/>
    <w:rsid w:val="00917BA0"/>
    <w:rsid w:val="00917CF0"/>
    <w:rsid w:val="00917D94"/>
    <w:rsid w:val="00920E58"/>
    <w:rsid w:val="00921057"/>
    <w:rsid w:val="0092162F"/>
    <w:rsid w:val="00921E42"/>
    <w:rsid w:val="009221E2"/>
    <w:rsid w:val="0092244B"/>
    <w:rsid w:val="00924122"/>
    <w:rsid w:val="009241E0"/>
    <w:rsid w:val="009259E1"/>
    <w:rsid w:val="00927505"/>
    <w:rsid w:val="009277A7"/>
    <w:rsid w:val="00927D6F"/>
    <w:rsid w:val="009306D5"/>
    <w:rsid w:val="00930CCE"/>
    <w:rsid w:val="00931A17"/>
    <w:rsid w:val="009353AC"/>
    <w:rsid w:val="009360C0"/>
    <w:rsid w:val="0093653B"/>
    <w:rsid w:val="00936FF7"/>
    <w:rsid w:val="00937550"/>
    <w:rsid w:val="00937B56"/>
    <w:rsid w:val="00937F6B"/>
    <w:rsid w:val="0094028A"/>
    <w:rsid w:val="0094183B"/>
    <w:rsid w:val="00947084"/>
    <w:rsid w:val="00947A7B"/>
    <w:rsid w:val="00947FBD"/>
    <w:rsid w:val="00951A4B"/>
    <w:rsid w:val="0095482F"/>
    <w:rsid w:val="00955403"/>
    <w:rsid w:val="00957526"/>
    <w:rsid w:val="00957C85"/>
    <w:rsid w:val="00957D24"/>
    <w:rsid w:val="009630B4"/>
    <w:rsid w:val="0096330A"/>
    <w:rsid w:val="00963735"/>
    <w:rsid w:val="009650B3"/>
    <w:rsid w:val="00965964"/>
    <w:rsid w:val="009715CE"/>
    <w:rsid w:val="0097162D"/>
    <w:rsid w:val="009721C4"/>
    <w:rsid w:val="009722DB"/>
    <w:rsid w:val="0097272E"/>
    <w:rsid w:val="00973B94"/>
    <w:rsid w:val="00974433"/>
    <w:rsid w:val="009745D8"/>
    <w:rsid w:val="00974683"/>
    <w:rsid w:val="00975D21"/>
    <w:rsid w:val="00976F80"/>
    <w:rsid w:val="009805F2"/>
    <w:rsid w:val="00984C33"/>
    <w:rsid w:val="00984CCF"/>
    <w:rsid w:val="00986052"/>
    <w:rsid w:val="00987C74"/>
    <w:rsid w:val="00991B11"/>
    <w:rsid w:val="00991C84"/>
    <w:rsid w:val="00993224"/>
    <w:rsid w:val="00994D71"/>
    <w:rsid w:val="00996C28"/>
    <w:rsid w:val="00996FA7"/>
    <w:rsid w:val="0099708E"/>
    <w:rsid w:val="009A2DA3"/>
    <w:rsid w:val="009A37EB"/>
    <w:rsid w:val="009A388E"/>
    <w:rsid w:val="009A3ADF"/>
    <w:rsid w:val="009A5C59"/>
    <w:rsid w:val="009A662A"/>
    <w:rsid w:val="009A6C03"/>
    <w:rsid w:val="009A7840"/>
    <w:rsid w:val="009A7F2E"/>
    <w:rsid w:val="009B0C1D"/>
    <w:rsid w:val="009B139B"/>
    <w:rsid w:val="009B1B7D"/>
    <w:rsid w:val="009B2E68"/>
    <w:rsid w:val="009B45ED"/>
    <w:rsid w:val="009B4C84"/>
    <w:rsid w:val="009B67E9"/>
    <w:rsid w:val="009C1A22"/>
    <w:rsid w:val="009C2C3C"/>
    <w:rsid w:val="009C60D3"/>
    <w:rsid w:val="009C6AFA"/>
    <w:rsid w:val="009C7037"/>
    <w:rsid w:val="009C727F"/>
    <w:rsid w:val="009C7943"/>
    <w:rsid w:val="009D1A5C"/>
    <w:rsid w:val="009D217B"/>
    <w:rsid w:val="009D219B"/>
    <w:rsid w:val="009D2EAC"/>
    <w:rsid w:val="009D4F4F"/>
    <w:rsid w:val="009D6E1C"/>
    <w:rsid w:val="009D7945"/>
    <w:rsid w:val="009E30A5"/>
    <w:rsid w:val="009E3CEE"/>
    <w:rsid w:val="009E3EAC"/>
    <w:rsid w:val="009E3F63"/>
    <w:rsid w:val="009E4342"/>
    <w:rsid w:val="009E496A"/>
    <w:rsid w:val="009E61C4"/>
    <w:rsid w:val="009F03B6"/>
    <w:rsid w:val="009F0432"/>
    <w:rsid w:val="009F2842"/>
    <w:rsid w:val="009F2CAA"/>
    <w:rsid w:val="009F3AB0"/>
    <w:rsid w:val="009F3CB2"/>
    <w:rsid w:val="009F482B"/>
    <w:rsid w:val="009F68F5"/>
    <w:rsid w:val="009F691A"/>
    <w:rsid w:val="00A004B0"/>
    <w:rsid w:val="00A02FC4"/>
    <w:rsid w:val="00A0487E"/>
    <w:rsid w:val="00A04E54"/>
    <w:rsid w:val="00A0554B"/>
    <w:rsid w:val="00A05A20"/>
    <w:rsid w:val="00A061EB"/>
    <w:rsid w:val="00A0698F"/>
    <w:rsid w:val="00A06D43"/>
    <w:rsid w:val="00A11849"/>
    <w:rsid w:val="00A12E53"/>
    <w:rsid w:val="00A13CF1"/>
    <w:rsid w:val="00A13DFC"/>
    <w:rsid w:val="00A14F7E"/>
    <w:rsid w:val="00A16B16"/>
    <w:rsid w:val="00A170FF"/>
    <w:rsid w:val="00A17436"/>
    <w:rsid w:val="00A203F4"/>
    <w:rsid w:val="00A23E03"/>
    <w:rsid w:val="00A25176"/>
    <w:rsid w:val="00A269CF"/>
    <w:rsid w:val="00A33251"/>
    <w:rsid w:val="00A351CC"/>
    <w:rsid w:val="00A3541E"/>
    <w:rsid w:val="00A3627D"/>
    <w:rsid w:val="00A364A1"/>
    <w:rsid w:val="00A36649"/>
    <w:rsid w:val="00A36D32"/>
    <w:rsid w:val="00A36E5F"/>
    <w:rsid w:val="00A401BC"/>
    <w:rsid w:val="00A401BE"/>
    <w:rsid w:val="00A40F25"/>
    <w:rsid w:val="00A4115D"/>
    <w:rsid w:val="00A423A7"/>
    <w:rsid w:val="00A44F7D"/>
    <w:rsid w:val="00A45DE2"/>
    <w:rsid w:val="00A47365"/>
    <w:rsid w:val="00A52E45"/>
    <w:rsid w:val="00A55D49"/>
    <w:rsid w:val="00A56A17"/>
    <w:rsid w:val="00A60FC8"/>
    <w:rsid w:val="00A61A79"/>
    <w:rsid w:val="00A6235C"/>
    <w:rsid w:val="00A63606"/>
    <w:rsid w:val="00A64D76"/>
    <w:rsid w:val="00A650B3"/>
    <w:rsid w:val="00A65B8E"/>
    <w:rsid w:val="00A65B9D"/>
    <w:rsid w:val="00A66062"/>
    <w:rsid w:val="00A66317"/>
    <w:rsid w:val="00A66E9E"/>
    <w:rsid w:val="00A7006C"/>
    <w:rsid w:val="00A70103"/>
    <w:rsid w:val="00A70C5A"/>
    <w:rsid w:val="00A710F1"/>
    <w:rsid w:val="00A71D3F"/>
    <w:rsid w:val="00A71FF1"/>
    <w:rsid w:val="00A7213D"/>
    <w:rsid w:val="00A7339D"/>
    <w:rsid w:val="00A74BBA"/>
    <w:rsid w:val="00A74C3A"/>
    <w:rsid w:val="00A76386"/>
    <w:rsid w:val="00A7781C"/>
    <w:rsid w:val="00A812B5"/>
    <w:rsid w:val="00A84F3D"/>
    <w:rsid w:val="00A86DA7"/>
    <w:rsid w:val="00A90870"/>
    <w:rsid w:val="00A91DC0"/>
    <w:rsid w:val="00A91E49"/>
    <w:rsid w:val="00A9205A"/>
    <w:rsid w:val="00AA0FE4"/>
    <w:rsid w:val="00AA10CE"/>
    <w:rsid w:val="00AA2A57"/>
    <w:rsid w:val="00AA3E9B"/>
    <w:rsid w:val="00AA5738"/>
    <w:rsid w:val="00AA6191"/>
    <w:rsid w:val="00AA632B"/>
    <w:rsid w:val="00AA6486"/>
    <w:rsid w:val="00AA65EF"/>
    <w:rsid w:val="00AB09A7"/>
    <w:rsid w:val="00AB0EF6"/>
    <w:rsid w:val="00AB0FBF"/>
    <w:rsid w:val="00AB1853"/>
    <w:rsid w:val="00AB2912"/>
    <w:rsid w:val="00AB2F5D"/>
    <w:rsid w:val="00AB2FF1"/>
    <w:rsid w:val="00AB5A9E"/>
    <w:rsid w:val="00AB5B65"/>
    <w:rsid w:val="00AB6850"/>
    <w:rsid w:val="00AC0C82"/>
    <w:rsid w:val="00AC1513"/>
    <w:rsid w:val="00AC18D7"/>
    <w:rsid w:val="00AC2611"/>
    <w:rsid w:val="00AC2635"/>
    <w:rsid w:val="00AC2BF4"/>
    <w:rsid w:val="00AC2E6A"/>
    <w:rsid w:val="00AC339A"/>
    <w:rsid w:val="00AC3E12"/>
    <w:rsid w:val="00AC727B"/>
    <w:rsid w:val="00AC7DFA"/>
    <w:rsid w:val="00AD01B1"/>
    <w:rsid w:val="00AD05A6"/>
    <w:rsid w:val="00AD1F5E"/>
    <w:rsid w:val="00AD3252"/>
    <w:rsid w:val="00AD436F"/>
    <w:rsid w:val="00AD476B"/>
    <w:rsid w:val="00AD50D3"/>
    <w:rsid w:val="00AD5368"/>
    <w:rsid w:val="00AD6A31"/>
    <w:rsid w:val="00AE0B43"/>
    <w:rsid w:val="00AE0C7A"/>
    <w:rsid w:val="00AE0F77"/>
    <w:rsid w:val="00AE1EFF"/>
    <w:rsid w:val="00AE2657"/>
    <w:rsid w:val="00AE2F6B"/>
    <w:rsid w:val="00AE4385"/>
    <w:rsid w:val="00AE4758"/>
    <w:rsid w:val="00AE4C5E"/>
    <w:rsid w:val="00AE52B8"/>
    <w:rsid w:val="00AE7125"/>
    <w:rsid w:val="00AE7BCB"/>
    <w:rsid w:val="00AE7C72"/>
    <w:rsid w:val="00AF0726"/>
    <w:rsid w:val="00AF0CAF"/>
    <w:rsid w:val="00AF24B2"/>
    <w:rsid w:val="00AF529C"/>
    <w:rsid w:val="00AF5345"/>
    <w:rsid w:val="00AF5B03"/>
    <w:rsid w:val="00AF5EB2"/>
    <w:rsid w:val="00AF60B7"/>
    <w:rsid w:val="00B00247"/>
    <w:rsid w:val="00B00F06"/>
    <w:rsid w:val="00B0144E"/>
    <w:rsid w:val="00B01528"/>
    <w:rsid w:val="00B01F41"/>
    <w:rsid w:val="00B03791"/>
    <w:rsid w:val="00B047F1"/>
    <w:rsid w:val="00B051CC"/>
    <w:rsid w:val="00B072C8"/>
    <w:rsid w:val="00B07419"/>
    <w:rsid w:val="00B07443"/>
    <w:rsid w:val="00B07E1B"/>
    <w:rsid w:val="00B104E2"/>
    <w:rsid w:val="00B10566"/>
    <w:rsid w:val="00B10C9A"/>
    <w:rsid w:val="00B125BD"/>
    <w:rsid w:val="00B13092"/>
    <w:rsid w:val="00B13461"/>
    <w:rsid w:val="00B14A4A"/>
    <w:rsid w:val="00B15E45"/>
    <w:rsid w:val="00B166A5"/>
    <w:rsid w:val="00B17FF8"/>
    <w:rsid w:val="00B20DA5"/>
    <w:rsid w:val="00B21DE7"/>
    <w:rsid w:val="00B227E7"/>
    <w:rsid w:val="00B22D3D"/>
    <w:rsid w:val="00B22D55"/>
    <w:rsid w:val="00B235F7"/>
    <w:rsid w:val="00B242B8"/>
    <w:rsid w:val="00B244A4"/>
    <w:rsid w:val="00B24831"/>
    <w:rsid w:val="00B25161"/>
    <w:rsid w:val="00B2522A"/>
    <w:rsid w:val="00B254D8"/>
    <w:rsid w:val="00B265A5"/>
    <w:rsid w:val="00B30840"/>
    <w:rsid w:val="00B30A72"/>
    <w:rsid w:val="00B30CF7"/>
    <w:rsid w:val="00B30F3E"/>
    <w:rsid w:val="00B3280B"/>
    <w:rsid w:val="00B33A63"/>
    <w:rsid w:val="00B33CA8"/>
    <w:rsid w:val="00B344AB"/>
    <w:rsid w:val="00B34570"/>
    <w:rsid w:val="00B3482E"/>
    <w:rsid w:val="00B35471"/>
    <w:rsid w:val="00B365C9"/>
    <w:rsid w:val="00B36D6F"/>
    <w:rsid w:val="00B40113"/>
    <w:rsid w:val="00B4098B"/>
    <w:rsid w:val="00B40C28"/>
    <w:rsid w:val="00B412E1"/>
    <w:rsid w:val="00B43BAA"/>
    <w:rsid w:val="00B444F7"/>
    <w:rsid w:val="00B46F5D"/>
    <w:rsid w:val="00B510D1"/>
    <w:rsid w:val="00B516F4"/>
    <w:rsid w:val="00B521B2"/>
    <w:rsid w:val="00B53695"/>
    <w:rsid w:val="00B5371C"/>
    <w:rsid w:val="00B55B2A"/>
    <w:rsid w:val="00B56122"/>
    <w:rsid w:val="00B6021A"/>
    <w:rsid w:val="00B60672"/>
    <w:rsid w:val="00B61CD8"/>
    <w:rsid w:val="00B61DDE"/>
    <w:rsid w:val="00B62892"/>
    <w:rsid w:val="00B63F07"/>
    <w:rsid w:val="00B64FD7"/>
    <w:rsid w:val="00B650D8"/>
    <w:rsid w:val="00B65F7E"/>
    <w:rsid w:val="00B65FD9"/>
    <w:rsid w:val="00B6634F"/>
    <w:rsid w:val="00B67CFA"/>
    <w:rsid w:val="00B67FDC"/>
    <w:rsid w:val="00B708CF"/>
    <w:rsid w:val="00B71697"/>
    <w:rsid w:val="00B71781"/>
    <w:rsid w:val="00B72045"/>
    <w:rsid w:val="00B7222E"/>
    <w:rsid w:val="00B7336C"/>
    <w:rsid w:val="00B734C2"/>
    <w:rsid w:val="00B7548C"/>
    <w:rsid w:val="00B76A41"/>
    <w:rsid w:val="00B76B88"/>
    <w:rsid w:val="00B76C6A"/>
    <w:rsid w:val="00B77794"/>
    <w:rsid w:val="00B80677"/>
    <w:rsid w:val="00B81ABF"/>
    <w:rsid w:val="00B82437"/>
    <w:rsid w:val="00B829A8"/>
    <w:rsid w:val="00B829B3"/>
    <w:rsid w:val="00B83749"/>
    <w:rsid w:val="00B8560B"/>
    <w:rsid w:val="00B860F7"/>
    <w:rsid w:val="00B86579"/>
    <w:rsid w:val="00B87617"/>
    <w:rsid w:val="00B912EC"/>
    <w:rsid w:val="00B9203C"/>
    <w:rsid w:val="00B925FF"/>
    <w:rsid w:val="00B92684"/>
    <w:rsid w:val="00B93167"/>
    <w:rsid w:val="00B94198"/>
    <w:rsid w:val="00B95065"/>
    <w:rsid w:val="00B96704"/>
    <w:rsid w:val="00B96E93"/>
    <w:rsid w:val="00B971AE"/>
    <w:rsid w:val="00B97AE8"/>
    <w:rsid w:val="00BA0BDC"/>
    <w:rsid w:val="00BA2289"/>
    <w:rsid w:val="00BA3745"/>
    <w:rsid w:val="00BA424D"/>
    <w:rsid w:val="00BA4E36"/>
    <w:rsid w:val="00BA54BC"/>
    <w:rsid w:val="00BB01C4"/>
    <w:rsid w:val="00BB1DDF"/>
    <w:rsid w:val="00BB1F05"/>
    <w:rsid w:val="00BB3981"/>
    <w:rsid w:val="00BB4665"/>
    <w:rsid w:val="00BB4A4E"/>
    <w:rsid w:val="00BC1CC8"/>
    <w:rsid w:val="00BC2CE3"/>
    <w:rsid w:val="00BC2D7C"/>
    <w:rsid w:val="00BC47BA"/>
    <w:rsid w:val="00BC5ABC"/>
    <w:rsid w:val="00BC6124"/>
    <w:rsid w:val="00BC76D0"/>
    <w:rsid w:val="00BD15DC"/>
    <w:rsid w:val="00BD2737"/>
    <w:rsid w:val="00BD3529"/>
    <w:rsid w:val="00BD3EE5"/>
    <w:rsid w:val="00BD5207"/>
    <w:rsid w:val="00BE134F"/>
    <w:rsid w:val="00BE20FD"/>
    <w:rsid w:val="00BE3538"/>
    <w:rsid w:val="00BE4EA8"/>
    <w:rsid w:val="00BE56ED"/>
    <w:rsid w:val="00BE67E4"/>
    <w:rsid w:val="00BE6806"/>
    <w:rsid w:val="00BE77A5"/>
    <w:rsid w:val="00BF158F"/>
    <w:rsid w:val="00BF1A98"/>
    <w:rsid w:val="00BF2576"/>
    <w:rsid w:val="00BF279A"/>
    <w:rsid w:val="00BF4913"/>
    <w:rsid w:val="00BF5106"/>
    <w:rsid w:val="00BF583E"/>
    <w:rsid w:val="00BF5D19"/>
    <w:rsid w:val="00BF5DF9"/>
    <w:rsid w:val="00BF73FF"/>
    <w:rsid w:val="00C0043D"/>
    <w:rsid w:val="00C02D13"/>
    <w:rsid w:val="00C032E9"/>
    <w:rsid w:val="00C03950"/>
    <w:rsid w:val="00C04AEB"/>
    <w:rsid w:val="00C04E50"/>
    <w:rsid w:val="00C053AA"/>
    <w:rsid w:val="00C05572"/>
    <w:rsid w:val="00C10CA2"/>
    <w:rsid w:val="00C1154C"/>
    <w:rsid w:val="00C11B59"/>
    <w:rsid w:val="00C11CA8"/>
    <w:rsid w:val="00C1301B"/>
    <w:rsid w:val="00C14AED"/>
    <w:rsid w:val="00C1561D"/>
    <w:rsid w:val="00C17B97"/>
    <w:rsid w:val="00C20338"/>
    <w:rsid w:val="00C20F02"/>
    <w:rsid w:val="00C2114D"/>
    <w:rsid w:val="00C21D67"/>
    <w:rsid w:val="00C231F2"/>
    <w:rsid w:val="00C2442E"/>
    <w:rsid w:val="00C24B34"/>
    <w:rsid w:val="00C26ABE"/>
    <w:rsid w:val="00C276B1"/>
    <w:rsid w:val="00C343BD"/>
    <w:rsid w:val="00C3561A"/>
    <w:rsid w:val="00C36730"/>
    <w:rsid w:val="00C374D4"/>
    <w:rsid w:val="00C401B2"/>
    <w:rsid w:val="00C4141D"/>
    <w:rsid w:val="00C432E7"/>
    <w:rsid w:val="00C437B1"/>
    <w:rsid w:val="00C455E2"/>
    <w:rsid w:val="00C45AAA"/>
    <w:rsid w:val="00C4609B"/>
    <w:rsid w:val="00C46721"/>
    <w:rsid w:val="00C46EC8"/>
    <w:rsid w:val="00C505B3"/>
    <w:rsid w:val="00C529FD"/>
    <w:rsid w:val="00C52FF7"/>
    <w:rsid w:val="00C536FD"/>
    <w:rsid w:val="00C5413F"/>
    <w:rsid w:val="00C54450"/>
    <w:rsid w:val="00C546FF"/>
    <w:rsid w:val="00C54B84"/>
    <w:rsid w:val="00C54C86"/>
    <w:rsid w:val="00C5543F"/>
    <w:rsid w:val="00C56178"/>
    <w:rsid w:val="00C56687"/>
    <w:rsid w:val="00C56F97"/>
    <w:rsid w:val="00C57124"/>
    <w:rsid w:val="00C577A9"/>
    <w:rsid w:val="00C604D6"/>
    <w:rsid w:val="00C62367"/>
    <w:rsid w:val="00C64814"/>
    <w:rsid w:val="00C6528C"/>
    <w:rsid w:val="00C674B4"/>
    <w:rsid w:val="00C70197"/>
    <w:rsid w:val="00C717FC"/>
    <w:rsid w:val="00C723B7"/>
    <w:rsid w:val="00C72455"/>
    <w:rsid w:val="00C7306D"/>
    <w:rsid w:val="00C74392"/>
    <w:rsid w:val="00C74422"/>
    <w:rsid w:val="00C75800"/>
    <w:rsid w:val="00C75948"/>
    <w:rsid w:val="00C76D3F"/>
    <w:rsid w:val="00C776F7"/>
    <w:rsid w:val="00C77828"/>
    <w:rsid w:val="00C80D62"/>
    <w:rsid w:val="00C81292"/>
    <w:rsid w:val="00C82C39"/>
    <w:rsid w:val="00C8337E"/>
    <w:rsid w:val="00C83CDE"/>
    <w:rsid w:val="00C83E21"/>
    <w:rsid w:val="00C85EEF"/>
    <w:rsid w:val="00C8624C"/>
    <w:rsid w:val="00C92B2B"/>
    <w:rsid w:val="00C9334E"/>
    <w:rsid w:val="00C93F32"/>
    <w:rsid w:val="00C94775"/>
    <w:rsid w:val="00C947A9"/>
    <w:rsid w:val="00C94D3F"/>
    <w:rsid w:val="00C95D73"/>
    <w:rsid w:val="00C96A92"/>
    <w:rsid w:val="00C96E31"/>
    <w:rsid w:val="00C97A89"/>
    <w:rsid w:val="00CA2619"/>
    <w:rsid w:val="00CA2AB4"/>
    <w:rsid w:val="00CA4265"/>
    <w:rsid w:val="00CA4575"/>
    <w:rsid w:val="00CA45DC"/>
    <w:rsid w:val="00CA492E"/>
    <w:rsid w:val="00CA4C09"/>
    <w:rsid w:val="00CA4FA9"/>
    <w:rsid w:val="00CA6166"/>
    <w:rsid w:val="00CA633A"/>
    <w:rsid w:val="00CA6A3D"/>
    <w:rsid w:val="00CA6DEF"/>
    <w:rsid w:val="00CA74CA"/>
    <w:rsid w:val="00CB072D"/>
    <w:rsid w:val="00CB09A1"/>
    <w:rsid w:val="00CB146D"/>
    <w:rsid w:val="00CB2E28"/>
    <w:rsid w:val="00CB3355"/>
    <w:rsid w:val="00CB38CA"/>
    <w:rsid w:val="00CB3F35"/>
    <w:rsid w:val="00CB4D1B"/>
    <w:rsid w:val="00CB5011"/>
    <w:rsid w:val="00CB69CF"/>
    <w:rsid w:val="00CB79A7"/>
    <w:rsid w:val="00CC1780"/>
    <w:rsid w:val="00CC48D3"/>
    <w:rsid w:val="00CC4A07"/>
    <w:rsid w:val="00CC4E9E"/>
    <w:rsid w:val="00CC4F1D"/>
    <w:rsid w:val="00CC5D86"/>
    <w:rsid w:val="00CC6E1E"/>
    <w:rsid w:val="00CC7338"/>
    <w:rsid w:val="00CC7BDF"/>
    <w:rsid w:val="00CD2317"/>
    <w:rsid w:val="00CD262F"/>
    <w:rsid w:val="00CD308A"/>
    <w:rsid w:val="00CD4895"/>
    <w:rsid w:val="00CD4BD8"/>
    <w:rsid w:val="00CD60FC"/>
    <w:rsid w:val="00CD671E"/>
    <w:rsid w:val="00CD683F"/>
    <w:rsid w:val="00CD6B90"/>
    <w:rsid w:val="00CD6DFA"/>
    <w:rsid w:val="00CD7969"/>
    <w:rsid w:val="00CD7ACC"/>
    <w:rsid w:val="00CE1E5E"/>
    <w:rsid w:val="00CE202C"/>
    <w:rsid w:val="00CE2FD3"/>
    <w:rsid w:val="00CE3821"/>
    <w:rsid w:val="00CE5CEA"/>
    <w:rsid w:val="00CE688C"/>
    <w:rsid w:val="00CE6911"/>
    <w:rsid w:val="00CE71E5"/>
    <w:rsid w:val="00CF1C62"/>
    <w:rsid w:val="00CF3994"/>
    <w:rsid w:val="00CF3C1D"/>
    <w:rsid w:val="00CF540D"/>
    <w:rsid w:val="00CF6E6C"/>
    <w:rsid w:val="00CF77DC"/>
    <w:rsid w:val="00CF7D0F"/>
    <w:rsid w:val="00D0086F"/>
    <w:rsid w:val="00D01B22"/>
    <w:rsid w:val="00D01B5A"/>
    <w:rsid w:val="00D02682"/>
    <w:rsid w:val="00D03E15"/>
    <w:rsid w:val="00D0444F"/>
    <w:rsid w:val="00D046E3"/>
    <w:rsid w:val="00D04C48"/>
    <w:rsid w:val="00D05C60"/>
    <w:rsid w:val="00D05EF1"/>
    <w:rsid w:val="00D0603C"/>
    <w:rsid w:val="00D061F7"/>
    <w:rsid w:val="00D06F63"/>
    <w:rsid w:val="00D07635"/>
    <w:rsid w:val="00D07DF0"/>
    <w:rsid w:val="00D10C37"/>
    <w:rsid w:val="00D114FD"/>
    <w:rsid w:val="00D13147"/>
    <w:rsid w:val="00D14818"/>
    <w:rsid w:val="00D15111"/>
    <w:rsid w:val="00D167ED"/>
    <w:rsid w:val="00D1701F"/>
    <w:rsid w:val="00D17072"/>
    <w:rsid w:val="00D20341"/>
    <w:rsid w:val="00D20C23"/>
    <w:rsid w:val="00D21751"/>
    <w:rsid w:val="00D21D42"/>
    <w:rsid w:val="00D21F6E"/>
    <w:rsid w:val="00D22310"/>
    <w:rsid w:val="00D227B8"/>
    <w:rsid w:val="00D22CFE"/>
    <w:rsid w:val="00D23A72"/>
    <w:rsid w:val="00D23AB2"/>
    <w:rsid w:val="00D24C4C"/>
    <w:rsid w:val="00D24EBB"/>
    <w:rsid w:val="00D258D8"/>
    <w:rsid w:val="00D26331"/>
    <w:rsid w:val="00D2652D"/>
    <w:rsid w:val="00D27104"/>
    <w:rsid w:val="00D27A96"/>
    <w:rsid w:val="00D301D2"/>
    <w:rsid w:val="00D309D7"/>
    <w:rsid w:val="00D309DD"/>
    <w:rsid w:val="00D30CEF"/>
    <w:rsid w:val="00D31112"/>
    <w:rsid w:val="00D31C1B"/>
    <w:rsid w:val="00D33A1A"/>
    <w:rsid w:val="00D34424"/>
    <w:rsid w:val="00D34464"/>
    <w:rsid w:val="00D353A8"/>
    <w:rsid w:val="00D35863"/>
    <w:rsid w:val="00D35969"/>
    <w:rsid w:val="00D40E17"/>
    <w:rsid w:val="00D413C5"/>
    <w:rsid w:val="00D42242"/>
    <w:rsid w:val="00D45208"/>
    <w:rsid w:val="00D45568"/>
    <w:rsid w:val="00D46F84"/>
    <w:rsid w:val="00D51C6E"/>
    <w:rsid w:val="00D51D87"/>
    <w:rsid w:val="00D52E7C"/>
    <w:rsid w:val="00D53CE2"/>
    <w:rsid w:val="00D542CC"/>
    <w:rsid w:val="00D543F3"/>
    <w:rsid w:val="00D609E5"/>
    <w:rsid w:val="00D62905"/>
    <w:rsid w:val="00D636FC"/>
    <w:rsid w:val="00D640C7"/>
    <w:rsid w:val="00D64336"/>
    <w:rsid w:val="00D65178"/>
    <w:rsid w:val="00D651BC"/>
    <w:rsid w:val="00D66971"/>
    <w:rsid w:val="00D708B7"/>
    <w:rsid w:val="00D7296B"/>
    <w:rsid w:val="00D755A7"/>
    <w:rsid w:val="00D77B37"/>
    <w:rsid w:val="00D80173"/>
    <w:rsid w:val="00D8099A"/>
    <w:rsid w:val="00D81444"/>
    <w:rsid w:val="00D816A0"/>
    <w:rsid w:val="00D81D4D"/>
    <w:rsid w:val="00D823A9"/>
    <w:rsid w:val="00D83FB6"/>
    <w:rsid w:val="00D870A5"/>
    <w:rsid w:val="00D90217"/>
    <w:rsid w:val="00D91F7D"/>
    <w:rsid w:val="00D95224"/>
    <w:rsid w:val="00D95989"/>
    <w:rsid w:val="00D96184"/>
    <w:rsid w:val="00D9694C"/>
    <w:rsid w:val="00D96B0A"/>
    <w:rsid w:val="00D96C89"/>
    <w:rsid w:val="00D97320"/>
    <w:rsid w:val="00D978C1"/>
    <w:rsid w:val="00D97FE7"/>
    <w:rsid w:val="00DA2926"/>
    <w:rsid w:val="00DA52E8"/>
    <w:rsid w:val="00DA54E1"/>
    <w:rsid w:val="00DA6836"/>
    <w:rsid w:val="00DB09B1"/>
    <w:rsid w:val="00DB22C3"/>
    <w:rsid w:val="00DB32CD"/>
    <w:rsid w:val="00DB56F6"/>
    <w:rsid w:val="00DC2A0C"/>
    <w:rsid w:val="00DC3FF0"/>
    <w:rsid w:val="00DC4FC6"/>
    <w:rsid w:val="00DC511D"/>
    <w:rsid w:val="00DC54A4"/>
    <w:rsid w:val="00DC61A1"/>
    <w:rsid w:val="00DC6DC9"/>
    <w:rsid w:val="00DD2C65"/>
    <w:rsid w:val="00DD491D"/>
    <w:rsid w:val="00DD4DEC"/>
    <w:rsid w:val="00DD593A"/>
    <w:rsid w:val="00DD7BB6"/>
    <w:rsid w:val="00DE1FE9"/>
    <w:rsid w:val="00DE2B1F"/>
    <w:rsid w:val="00DE5012"/>
    <w:rsid w:val="00DE5673"/>
    <w:rsid w:val="00DE591C"/>
    <w:rsid w:val="00DE68E0"/>
    <w:rsid w:val="00DE6AEA"/>
    <w:rsid w:val="00DF20F8"/>
    <w:rsid w:val="00DF274C"/>
    <w:rsid w:val="00DF2811"/>
    <w:rsid w:val="00DF3C21"/>
    <w:rsid w:val="00DF6487"/>
    <w:rsid w:val="00DF6C32"/>
    <w:rsid w:val="00E00E5A"/>
    <w:rsid w:val="00E0144B"/>
    <w:rsid w:val="00E0203D"/>
    <w:rsid w:val="00E03F63"/>
    <w:rsid w:val="00E04BEC"/>
    <w:rsid w:val="00E0503D"/>
    <w:rsid w:val="00E06001"/>
    <w:rsid w:val="00E07CA5"/>
    <w:rsid w:val="00E102BB"/>
    <w:rsid w:val="00E118ED"/>
    <w:rsid w:val="00E11FDC"/>
    <w:rsid w:val="00E12040"/>
    <w:rsid w:val="00E126E0"/>
    <w:rsid w:val="00E13656"/>
    <w:rsid w:val="00E149F7"/>
    <w:rsid w:val="00E16227"/>
    <w:rsid w:val="00E1655E"/>
    <w:rsid w:val="00E17D68"/>
    <w:rsid w:val="00E219A1"/>
    <w:rsid w:val="00E21DED"/>
    <w:rsid w:val="00E22DF8"/>
    <w:rsid w:val="00E22F11"/>
    <w:rsid w:val="00E23016"/>
    <w:rsid w:val="00E25FA6"/>
    <w:rsid w:val="00E263F2"/>
    <w:rsid w:val="00E26576"/>
    <w:rsid w:val="00E267F3"/>
    <w:rsid w:val="00E27E4C"/>
    <w:rsid w:val="00E301EE"/>
    <w:rsid w:val="00E30818"/>
    <w:rsid w:val="00E3140B"/>
    <w:rsid w:val="00E34AAD"/>
    <w:rsid w:val="00E359D0"/>
    <w:rsid w:val="00E36560"/>
    <w:rsid w:val="00E36BE2"/>
    <w:rsid w:val="00E36EB6"/>
    <w:rsid w:val="00E3755B"/>
    <w:rsid w:val="00E3783A"/>
    <w:rsid w:val="00E37CC9"/>
    <w:rsid w:val="00E37F40"/>
    <w:rsid w:val="00E408AE"/>
    <w:rsid w:val="00E411A2"/>
    <w:rsid w:val="00E4169D"/>
    <w:rsid w:val="00E42270"/>
    <w:rsid w:val="00E426BC"/>
    <w:rsid w:val="00E43930"/>
    <w:rsid w:val="00E43CF7"/>
    <w:rsid w:val="00E44E3C"/>
    <w:rsid w:val="00E45037"/>
    <w:rsid w:val="00E45CD7"/>
    <w:rsid w:val="00E46192"/>
    <w:rsid w:val="00E46DBD"/>
    <w:rsid w:val="00E4759B"/>
    <w:rsid w:val="00E5027B"/>
    <w:rsid w:val="00E50B8E"/>
    <w:rsid w:val="00E50D3A"/>
    <w:rsid w:val="00E5197D"/>
    <w:rsid w:val="00E5230C"/>
    <w:rsid w:val="00E52BE0"/>
    <w:rsid w:val="00E544CF"/>
    <w:rsid w:val="00E5485A"/>
    <w:rsid w:val="00E54B85"/>
    <w:rsid w:val="00E562B4"/>
    <w:rsid w:val="00E568E1"/>
    <w:rsid w:val="00E572F8"/>
    <w:rsid w:val="00E574FC"/>
    <w:rsid w:val="00E601BD"/>
    <w:rsid w:val="00E60629"/>
    <w:rsid w:val="00E60695"/>
    <w:rsid w:val="00E60BF0"/>
    <w:rsid w:val="00E61043"/>
    <w:rsid w:val="00E61CF3"/>
    <w:rsid w:val="00E61E4D"/>
    <w:rsid w:val="00E6300E"/>
    <w:rsid w:val="00E63B5E"/>
    <w:rsid w:val="00E63E75"/>
    <w:rsid w:val="00E64A0B"/>
    <w:rsid w:val="00E6515F"/>
    <w:rsid w:val="00E65AAE"/>
    <w:rsid w:val="00E65BF2"/>
    <w:rsid w:val="00E672C7"/>
    <w:rsid w:val="00E678EA"/>
    <w:rsid w:val="00E71887"/>
    <w:rsid w:val="00E72C10"/>
    <w:rsid w:val="00E72DD0"/>
    <w:rsid w:val="00E73406"/>
    <w:rsid w:val="00E75B91"/>
    <w:rsid w:val="00E7625C"/>
    <w:rsid w:val="00E76BC5"/>
    <w:rsid w:val="00E772DB"/>
    <w:rsid w:val="00E7781F"/>
    <w:rsid w:val="00E81782"/>
    <w:rsid w:val="00E824FD"/>
    <w:rsid w:val="00E83879"/>
    <w:rsid w:val="00E83CDE"/>
    <w:rsid w:val="00E8596C"/>
    <w:rsid w:val="00E865C0"/>
    <w:rsid w:val="00E900AF"/>
    <w:rsid w:val="00E91CC1"/>
    <w:rsid w:val="00E927ED"/>
    <w:rsid w:val="00E94FC2"/>
    <w:rsid w:val="00E95659"/>
    <w:rsid w:val="00E95716"/>
    <w:rsid w:val="00E95C92"/>
    <w:rsid w:val="00E97CC8"/>
    <w:rsid w:val="00EA00D6"/>
    <w:rsid w:val="00EA1430"/>
    <w:rsid w:val="00EA3C71"/>
    <w:rsid w:val="00EA5674"/>
    <w:rsid w:val="00EA5DD7"/>
    <w:rsid w:val="00EB0134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3B7"/>
    <w:rsid w:val="00EB5AFB"/>
    <w:rsid w:val="00EB6973"/>
    <w:rsid w:val="00EB7589"/>
    <w:rsid w:val="00EB76A8"/>
    <w:rsid w:val="00EC1E91"/>
    <w:rsid w:val="00EC2337"/>
    <w:rsid w:val="00EC2C32"/>
    <w:rsid w:val="00EC3A18"/>
    <w:rsid w:val="00EC5217"/>
    <w:rsid w:val="00EC55CB"/>
    <w:rsid w:val="00EC5C09"/>
    <w:rsid w:val="00EC5F76"/>
    <w:rsid w:val="00EC7638"/>
    <w:rsid w:val="00ED073D"/>
    <w:rsid w:val="00ED0CFD"/>
    <w:rsid w:val="00ED0ED7"/>
    <w:rsid w:val="00ED1C0B"/>
    <w:rsid w:val="00ED26C2"/>
    <w:rsid w:val="00ED3457"/>
    <w:rsid w:val="00ED4B85"/>
    <w:rsid w:val="00ED61B1"/>
    <w:rsid w:val="00ED6F5A"/>
    <w:rsid w:val="00EE38DB"/>
    <w:rsid w:val="00EE45A7"/>
    <w:rsid w:val="00EE622A"/>
    <w:rsid w:val="00EE6DB9"/>
    <w:rsid w:val="00EF21E1"/>
    <w:rsid w:val="00EF462D"/>
    <w:rsid w:val="00EF4908"/>
    <w:rsid w:val="00EF5B96"/>
    <w:rsid w:val="00EF67C4"/>
    <w:rsid w:val="00EF7BCC"/>
    <w:rsid w:val="00F00618"/>
    <w:rsid w:val="00F01976"/>
    <w:rsid w:val="00F01ED5"/>
    <w:rsid w:val="00F04B70"/>
    <w:rsid w:val="00F06916"/>
    <w:rsid w:val="00F06C54"/>
    <w:rsid w:val="00F07D74"/>
    <w:rsid w:val="00F1028E"/>
    <w:rsid w:val="00F11576"/>
    <w:rsid w:val="00F115AA"/>
    <w:rsid w:val="00F117D2"/>
    <w:rsid w:val="00F12BB1"/>
    <w:rsid w:val="00F12BCE"/>
    <w:rsid w:val="00F13FAF"/>
    <w:rsid w:val="00F15DF9"/>
    <w:rsid w:val="00F16B41"/>
    <w:rsid w:val="00F17700"/>
    <w:rsid w:val="00F214DB"/>
    <w:rsid w:val="00F22502"/>
    <w:rsid w:val="00F22E70"/>
    <w:rsid w:val="00F2429D"/>
    <w:rsid w:val="00F24571"/>
    <w:rsid w:val="00F245C8"/>
    <w:rsid w:val="00F275D7"/>
    <w:rsid w:val="00F27C3C"/>
    <w:rsid w:val="00F306F9"/>
    <w:rsid w:val="00F30A0D"/>
    <w:rsid w:val="00F320EE"/>
    <w:rsid w:val="00F33B5B"/>
    <w:rsid w:val="00F35642"/>
    <w:rsid w:val="00F36965"/>
    <w:rsid w:val="00F36DEA"/>
    <w:rsid w:val="00F36F4F"/>
    <w:rsid w:val="00F400FA"/>
    <w:rsid w:val="00F4050E"/>
    <w:rsid w:val="00F4071A"/>
    <w:rsid w:val="00F416C6"/>
    <w:rsid w:val="00F4217C"/>
    <w:rsid w:val="00F4406F"/>
    <w:rsid w:val="00F4461F"/>
    <w:rsid w:val="00F46D61"/>
    <w:rsid w:val="00F47D25"/>
    <w:rsid w:val="00F5033A"/>
    <w:rsid w:val="00F53094"/>
    <w:rsid w:val="00F54467"/>
    <w:rsid w:val="00F55A57"/>
    <w:rsid w:val="00F60D04"/>
    <w:rsid w:val="00F6105F"/>
    <w:rsid w:val="00F61E47"/>
    <w:rsid w:val="00F61E7A"/>
    <w:rsid w:val="00F6436F"/>
    <w:rsid w:val="00F6452D"/>
    <w:rsid w:val="00F6596E"/>
    <w:rsid w:val="00F6679F"/>
    <w:rsid w:val="00F67BB5"/>
    <w:rsid w:val="00F67CAA"/>
    <w:rsid w:val="00F70D3D"/>
    <w:rsid w:val="00F71E30"/>
    <w:rsid w:val="00F72C51"/>
    <w:rsid w:val="00F72F47"/>
    <w:rsid w:val="00F775A0"/>
    <w:rsid w:val="00F82796"/>
    <w:rsid w:val="00F83A61"/>
    <w:rsid w:val="00F86243"/>
    <w:rsid w:val="00F87942"/>
    <w:rsid w:val="00F9162E"/>
    <w:rsid w:val="00F916E8"/>
    <w:rsid w:val="00F948AD"/>
    <w:rsid w:val="00F96616"/>
    <w:rsid w:val="00F96D2D"/>
    <w:rsid w:val="00F97009"/>
    <w:rsid w:val="00F97E31"/>
    <w:rsid w:val="00FA028D"/>
    <w:rsid w:val="00FA09BA"/>
    <w:rsid w:val="00FA1696"/>
    <w:rsid w:val="00FA1D06"/>
    <w:rsid w:val="00FA28CC"/>
    <w:rsid w:val="00FA4086"/>
    <w:rsid w:val="00FA68F1"/>
    <w:rsid w:val="00FA6B31"/>
    <w:rsid w:val="00FA6B98"/>
    <w:rsid w:val="00FA6CD2"/>
    <w:rsid w:val="00FA70A4"/>
    <w:rsid w:val="00FB028A"/>
    <w:rsid w:val="00FB1AA9"/>
    <w:rsid w:val="00FB37C0"/>
    <w:rsid w:val="00FB3E48"/>
    <w:rsid w:val="00FB41F7"/>
    <w:rsid w:val="00FB4811"/>
    <w:rsid w:val="00FB59BA"/>
    <w:rsid w:val="00FB5FD1"/>
    <w:rsid w:val="00FC01D2"/>
    <w:rsid w:val="00FC094C"/>
    <w:rsid w:val="00FC0BD8"/>
    <w:rsid w:val="00FC0D4E"/>
    <w:rsid w:val="00FC183E"/>
    <w:rsid w:val="00FC20A4"/>
    <w:rsid w:val="00FC3BAE"/>
    <w:rsid w:val="00FC4E8E"/>
    <w:rsid w:val="00FC52A9"/>
    <w:rsid w:val="00FC6102"/>
    <w:rsid w:val="00FC7166"/>
    <w:rsid w:val="00FD06B6"/>
    <w:rsid w:val="00FD1399"/>
    <w:rsid w:val="00FD146A"/>
    <w:rsid w:val="00FD1DDA"/>
    <w:rsid w:val="00FD237E"/>
    <w:rsid w:val="00FD47E8"/>
    <w:rsid w:val="00FD4B4C"/>
    <w:rsid w:val="00FD59F0"/>
    <w:rsid w:val="00FD710E"/>
    <w:rsid w:val="00FD728D"/>
    <w:rsid w:val="00FE03AB"/>
    <w:rsid w:val="00FE082E"/>
    <w:rsid w:val="00FE09E6"/>
    <w:rsid w:val="00FE2505"/>
    <w:rsid w:val="00FE277E"/>
    <w:rsid w:val="00FE38BE"/>
    <w:rsid w:val="00FE4E86"/>
    <w:rsid w:val="00FE51BE"/>
    <w:rsid w:val="00FE5B99"/>
    <w:rsid w:val="00FE63F6"/>
    <w:rsid w:val="00FE7B26"/>
    <w:rsid w:val="00FE7C14"/>
    <w:rsid w:val="00FE7C89"/>
    <w:rsid w:val="00FF0149"/>
    <w:rsid w:val="00FF052C"/>
    <w:rsid w:val="00FF11BF"/>
    <w:rsid w:val="00FF3651"/>
    <w:rsid w:val="00FF3ABB"/>
    <w:rsid w:val="00FF4296"/>
    <w:rsid w:val="00FF4DD0"/>
    <w:rsid w:val="00FF59C8"/>
    <w:rsid w:val="00FF6705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6A07A"/>
  <w15:docId w15:val="{5E80C9EF-FCCD-4D84-B7F4-422F4A88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7D2"/>
  </w:style>
  <w:style w:type="paragraph" w:styleId="Pidipagina">
    <w:name w:val="footer"/>
    <w:basedOn w:val="Normale"/>
    <w:link w:val="Pidipagina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7D2"/>
  </w:style>
  <w:style w:type="paragraph" w:styleId="Didascalia">
    <w:name w:val="caption"/>
    <w:basedOn w:val="Normale"/>
    <w:next w:val="Normale"/>
    <w:uiPriority w:val="35"/>
    <w:unhideWhenUsed/>
    <w:qFormat/>
    <w:rsid w:val="00C1561D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zh-CN"/>
    </w:rPr>
  </w:style>
  <w:style w:type="table" w:customStyle="1" w:styleId="Grigliatabella2">
    <w:name w:val="Griglia tabella2"/>
    <w:basedOn w:val="Tabellanormale"/>
    <w:next w:val="Grigliatabella"/>
    <w:uiPriority w:val="59"/>
    <w:rsid w:val="0039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1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C59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401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401BE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placeholder">
    <w:name w:val="placeholder"/>
    <w:basedOn w:val="Normale"/>
    <w:rsid w:val="00A4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401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401B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comma-num-akn">
    <w:name w:val="comma-num-akn"/>
    <w:basedOn w:val="Carpredefinitoparagrafo"/>
    <w:rsid w:val="00FE7B26"/>
  </w:style>
  <w:style w:type="character" w:customStyle="1" w:styleId="arttextincomma">
    <w:name w:val="art_text_in_comma"/>
    <w:basedOn w:val="Carpredefinitoparagrafo"/>
    <w:rsid w:val="00FE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2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0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9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5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EB139-8ADF-44BA-B385-175EF929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Roberto Luceri</cp:lastModifiedBy>
  <cp:revision>2</cp:revision>
  <cp:lastPrinted>2023-10-24T13:53:00Z</cp:lastPrinted>
  <dcterms:created xsi:type="dcterms:W3CDTF">2025-10-22T13:57:00Z</dcterms:created>
  <dcterms:modified xsi:type="dcterms:W3CDTF">2025-10-22T13:57:00Z</dcterms:modified>
</cp:coreProperties>
</file>