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C48A8" w14:textId="77777777" w:rsidR="00CA78D1" w:rsidRDefault="00C8624C" w:rsidP="00CA78D1">
      <w:pPr>
        <w:spacing w:line="240" w:lineRule="auto"/>
        <w:jc w:val="center"/>
        <w:rPr>
          <w:rFonts w:ascii="Calibri" w:eastAsia="Calibri" w:hAnsi="Calibri" w:cs="Times New Roman"/>
          <w:b/>
          <w:bCs/>
          <w:sz w:val="36"/>
          <w:szCs w:val="36"/>
        </w:rPr>
      </w:pPr>
      <w:r w:rsidRPr="00C8624C">
        <w:rPr>
          <w:rFonts w:ascii="Calibri" w:eastAsia="Calibri" w:hAnsi="Calibri" w:cs="Times New Roman"/>
          <w:b/>
          <w:bCs/>
          <w:sz w:val="36"/>
          <w:szCs w:val="36"/>
        </w:rPr>
        <w:t>COMUNICATO STAMPA</w:t>
      </w:r>
    </w:p>
    <w:p w14:paraId="6AC06775" w14:textId="577C06EE" w:rsidR="00A57E00" w:rsidRDefault="005C348F" w:rsidP="00CA78D1">
      <w:pPr>
        <w:jc w:val="center"/>
        <w:rPr>
          <w:b/>
          <w:bCs/>
          <w:sz w:val="36"/>
          <w:szCs w:val="36"/>
        </w:rPr>
      </w:pPr>
      <w:r>
        <w:rPr>
          <w:b/>
          <w:bCs/>
          <w:sz w:val="36"/>
          <w:szCs w:val="36"/>
        </w:rPr>
        <w:t xml:space="preserve">ALLARME </w:t>
      </w:r>
      <w:r w:rsidR="006F7E22" w:rsidRPr="00190985">
        <w:rPr>
          <w:b/>
          <w:bCs/>
          <w:sz w:val="36"/>
          <w:szCs w:val="36"/>
        </w:rPr>
        <w:t>MEDICI DI FAMIGLIA</w:t>
      </w:r>
      <w:r w:rsidR="00815A7F">
        <w:rPr>
          <w:b/>
          <w:bCs/>
          <w:sz w:val="36"/>
          <w:szCs w:val="36"/>
        </w:rPr>
        <w:t xml:space="preserve">: </w:t>
      </w:r>
      <w:r>
        <w:rPr>
          <w:b/>
          <w:bCs/>
          <w:sz w:val="36"/>
          <w:szCs w:val="36"/>
        </w:rPr>
        <w:t>NE MANCA</w:t>
      </w:r>
      <w:bookmarkStart w:id="0" w:name="_GoBack"/>
      <w:bookmarkEnd w:id="0"/>
      <w:r>
        <w:rPr>
          <w:b/>
          <w:bCs/>
          <w:sz w:val="36"/>
          <w:szCs w:val="36"/>
        </w:rPr>
        <w:t xml:space="preserve">NO </w:t>
      </w:r>
      <w:r w:rsidR="00C05D7F" w:rsidRPr="00C05D7F">
        <w:rPr>
          <w:b/>
          <w:bCs/>
          <w:sz w:val="36"/>
          <w:szCs w:val="36"/>
        </w:rPr>
        <w:t>OLTRE</w:t>
      </w:r>
      <w:r w:rsidRPr="00C05D7F">
        <w:rPr>
          <w:b/>
          <w:bCs/>
          <w:sz w:val="36"/>
          <w:szCs w:val="36"/>
        </w:rPr>
        <w:t xml:space="preserve"> </w:t>
      </w:r>
      <w:r w:rsidR="00C05D7F" w:rsidRPr="00C05D7F">
        <w:rPr>
          <w:b/>
          <w:bCs/>
          <w:sz w:val="36"/>
          <w:szCs w:val="36"/>
        </w:rPr>
        <w:t>3</w:t>
      </w:r>
      <w:r w:rsidRPr="00C05D7F">
        <w:rPr>
          <w:b/>
          <w:bCs/>
          <w:sz w:val="36"/>
          <w:szCs w:val="36"/>
        </w:rPr>
        <w:t>.</w:t>
      </w:r>
      <w:r w:rsidR="00C05D7F" w:rsidRPr="00C05D7F">
        <w:rPr>
          <w:b/>
          <w:bCs/>
          <w:sz w:val="36"/>
          <w:szCs w:val="36"/>
        </w:rPr>
        <w:t>1</w:t>
      </w:r>
      <w:r w:rsidRPr="00C05D7F">
        <w:rPr>
          <w:b/>
          <w:bCs/>
          <w:sz w:val="36"/>
          <w:szCs w:val="36"/>
        </w:rPr>
        <w:t>00</w:t>
      </w:r>
      <w:r w:rsidR="0014448E">
        <w:rPr>
          <w:b/>
          <w:bCs/>
          <w:sz w:val="36"/>
          <w:szCs w:val="36"/>
        </w:rPr>
        <w:t>.</w:t>
      </w:r>
      <w:r w:rsidRPr="00C05D7F">
        <w:rPr>
          <w:b/>
          <w:bCs/>
          <w:sz w:val="36"/>
          <w:szCs w:val="36"/>
        </w:rPr>
        <w:t xml:space="preserve"> </w:t>
      </w:r>
      <w:r w:rsidR="00A24A0C">
        <w:rPr>
          <w:b/>
          <w:bCs/>
          <w:sz w:val="36"/>
          <w:szCs w:val="36"/>
        </w:rPr>
        <w:br/>
      </w:r>
      <w:r>
        <w:rPr>
          <w:b/>
          <w:bCs/>
          <w:sz w:val="36"/>
          <w:szCs w:val="36"/>
        </w:rPr>
        <w:t>ENTRO IL 202</w:t>
      </w:r>
      <w:r w:rsidR="00F17250">
        <w:rPr>
          <w:b/>
          <w:bCs/>
          <w:sz w:val="36"/>
          <w:szCs w:val="36"/>
        </w:rPr>
        <w:t>6</w:t>
      </w:r>
      <w:r>
        <w:rPr>
          <w:b/>
          <w:bCs/>
          <w:sz w:val="36"/>
          <w:szCs w:val="36"/>
        </w:rPr>
        <w:t xml:space="preserve"> </w:t>
      </w:r>
      <w:r w:rsidR="00593B1A">
        <w:rPr>
          <w:b/>
          <w:bCs/>
          <w:sz w:val="36"/>
          <w:szCs w:val="36"/>
        </w:rPr>
        <w:t>OLTRE 11</w:t>
      </w:r>
      <w:r w:rsidR="003132DC">
        <w:rPr>
          <w:b/>
          <w:bCs/>
          <w:sz w:val="36"/>
          <w:szCs w:val="36"/>
        </w:rPr>
        <w:t>.400</w:t>
      </w:r>
      <w:r w:rsidR="00401D39">
        <w:rPr>
          <w:b/>
          <w:bCs/>
          <w:sz w:val="36"/>
          <w:szCs w:val="36"/>
        </w:rPr>
        <w:t xml:space="preserve"> </w:t>
      </w:r>
      <w:r w:rsidR="0014448E">
        <w:rPr>
          <w:b/>
          <w:bCs/>
          <w:sz w:val="36"/>
          <w:szCs w:val="36"/>
        </w:rPr>
        <w:t>PENSIONAMENTI</w:t>
      </w:r>
      <w:r w:rsidR="004736DB">
        <w:rPr>
          <w:b/>
          <w:bCs/>
          <w:sz w:val="36"/>
          <w:szCs w:val="36"/>
        </w:rPr>
        <w:t>:</w:t>
      </w:r>
      <w:r w:rsidR="00C95FF9">
        <w:rPr>
          <w:b/>
          <w:bCs/>
          <w:sz w:val="36"/>
          <w:szCs w:val="36"/>
        </w:rPr>
        <w:t xml:space="preserve"> </w:t>
      </w:r>
      <w:r w:rsidR="004736DB" w:rsidRPr="004736DB">
        <w:rPr>
          <w:b/>
          <w:bCs/>
          <w:sz w:val="36"/>
          <w:szCs w:val="36"/>
        </w:rPr>
        <w:t>NELLE REGIONI DEL SUD LE NUOVE LEVE NON BASTERANNO A RIMPIAZZARLI.</w:t>
      </w:r>
      <w:r>
        <w:rPr>
          <w:b/>
          <w:bCs/>
          <w:sz w:val="36"/>
          <w:szCs w:val="36"/>
        </w:rPr>
        <w:br/>
      </w:r>
      <w:r w:rsidR="00245859" w:rsidRPr="00C05D7F">
        <w:rPr>
          <w:b/>
          <w:bCs/>
          <w:sz w:val="36"/>
          <w:szCs w:val="36"/>
        </w:rPr>
        <w:t xml:space="preserve">IL </w:t>
      </w:r>
      <w:r w:rsidR="00593B1A">
        <w:rPr>
          <w:b/>
          <w:bCs/>
          <w:sz w:val="36"/>
          <w:szCs w:val="36"/>
        </w:rPr>
        <w:t>47,7</w:t>
      </w:r>
      <w:r w:rsidR="00245859" w:rsidRPr="00C05D7F">
        <w:rPr>
          <w:b/>
          <w:bCs/>
          <w:sz w:val="36"/>
          <w:szCs w:val="36"/>
        </w:rPr>
        <w:t xml:space="preserve">% DEI </w:t>
      </w:r>
      <w:r w:rsidR="00245859" w:rsidRPr="001F6454">
        <w:rPr>
          <w:b/>
          <w:bCs/>
          <w:sz w:val="36"/>
          <w:szCs w:val="36"/>
        </w:rPr>
        <w:t xml:space="preserve">MEDICI </w:t>
      </w:r>
      <w:r w:rsidR="00D41A53" w:rsidRPr="001F6454">
        <w:rPr>
          <w:b/>
          <w:bCs/>
          <w:sz w:val="36"/>
          <w:szCs w:val="36"/>
        </w:rPr>
        <w:t>SUPERA</w:t>
      </w:r>
      <w:r w:rsidRPr="001F6454">
        <w:rPr>
          <w:b/>
          <w:bCs/>
          <w:sz w:val="36"/>
          <w:szCs w:val="36"/>
        </w:rPr>
        <w:t xml:space="preserve"> </w:t>
      </w:r>
      <w:r w:rsidR="00190985" w:rsidRPr="001F6454">
        <w:rPr>
          <w:b/>
          <w:bCs/>
          <w:sz w:val="36"/>
          <w:szCs w:val="36"/>
        </w:rPr>
        <w:t xml:space="preserve">IL </w:t>
      </w:r>
      <w:r w:rsidR="0014448E">
        <w:rPr>
          <w:b/>
          <w:bCs/>
          <w:sz w:val="36"/>
          <w:szCs w:val="36"/>
        </w:rPr>
        <w:t>LIMITE</w:t>
      </w:r>
      <w:r w:rsidR="00190985" w:rsidRPr="001F6454">
        <w:rPr>
          <w:b/>
          <w:bCs/>
          <w:sz w:val="36"/>
          <w:szCs w:val="36"/>
        </w:rPr>
        <w:t xml:space="preserve"> DI </w:t>
      </w:r>
      <w:r w:rsidRPr="001F6454">
        <w:rPr>
          <w:b/>
          <w:bCs/>
          <w:sz w:val="36"/>
          <w:szCs w:val="36"/>
        </w:rPr>
        <w:t xml:space="preserve">1.500 </w:t>
      </w:r>
      <w:r w:rsidR="0014448E">
        <w:rPr>
          <w:b/>
          <w:bCs/>
          <w:sz w:val="36"/>
          <w:szCs w:val="36"/>
        </w:rPr>
        <w:t xml:space="preserve">ASSISTITI: </w:t>
      </w:r>
      <w:r w:rsidR="00CA78D1">
        <w:rPr>
          <w:b/>
          <w:bCs/>
          <w:sz w:val="36"/>
          <w:szCs w:val="36"/>
        </w:rPr>
        <w:br/>
      </w:r>
      <w:r w:rsidR="0014448E">
        <w:rPr>
          <w:b/>
          <w:bCs/>
          <w:sz w:val="36"/>
          <w:szCs w:val="36"/>
        </w:rPr>
        <w:t xml:space="preserve">IN FORTE CRISI </w:t>
      </w:r>
      <w:r w:rsidR="00C05D7F" w:rsidRPr="00C05D7F">
        <w:rPr>
          <w:b/>
          <w:bCs/>
          <w:sz w:val="36"/>
          <w:szCs w:val="36"/>
        </w:rPr>
        <w:t>ACCESSIBILITÀ E QUALITÀ DELL’ASSISTENZA</w:t>
      </w:r>
    </w:p>
    <w:p w14:paraId="724DF653" w14:textId="71F52CFD" w:rsidR="005B4F61" w:rsidRDefault="00C05D7F" w:rsidP="007E6B12">
      <w:pPr>
        <w:jc w:val="center"/>
        <w:rPr>
          <w:rFonts w:ascii="Calibri" w:eastAsia="Calibri" w:hAnsi="Calibri" w:cs="Times New Roman"/>
          <w:b/>
          <w:bCs/>
          <w:sz w:val="24"/>
          <w:szCs w:val="24"/>
        </w:rPr>
      </w:pPr>
      <w:r>
        <w:rPr>
          <w:rFonts w:ascii="Calibri" w:eastAsia="Calibri" w:hAnsi="Calibri" w:cs="Times New Roman"/>
          <w:b/>
          <w:bCs/>
          <w:sz w:val="24"/>
          <w:szCs w:val="24"/>
        </w:rPr>
        <w:t>7</w:t>
      </w:r>
      <w:r w:rsidR="005C6CB1">
        <w:rPr>
          <w:rFonts w:ascii="Calibri" w:eastAsia="Calibri" w:hAnsi="Calibri" w:cs="Times New Roman"/>
          <w:b/>
          <w:bCs/>
          <w:sz w:val="24"/>
          <w:szCs w:val="24"/>
        </w:rPr>
        <w:t xml:space="preserve"> </w:t>
      </w:r>
      <w:r w:rsidR="00853A5E">
        <w:rPr>
          <w:rFonts w:ascii="Calibri" w:eastAsia="Calibri" w:hAnsi="Calibri" w:cs="Times New Roman"/>
          <w:b/>
          <w:bCs/>
          <w:sz w:val="24"/>
          <w:szCs w:val="24"/>
        </w:rPr>
        <w:t>ma</w:t>
      </w:r>
      <w:r w:rsidR="00671674">
        <w:rPr>
          <w:rFonts w:ascii="Calibri" w:eastAsia="Calibri" w:hAnsi="Calibri" w:cs="Times New Roman"/>
          <w:b/>
          <w:bCs/>
          <w:sz w:val="24"/>
          <w:szCs w:val="24"/>
        </w:rPr>
        <w:t>rzo</w:t>
      </w:r>
      <w:r w:rsidR="00853A5E">
        <w:rPr>
          <w:rFonts w:ascii="Calibri" w:eastAsia="Calibri" w:hAnsi="Calibri" w:cs="Times New Roman"/>
          <w:b/>
          <w:bCs/>
          <w:sz w:val="24"/>
          <w:szCs w:val="24"/>
        </w:rPr>
        <w:t xml:space="preserve"> </w:t>
      </w:r>
      <w:r w:rsidR="00AE0F77">
        <w:rPr>
          <w:rFonts w:ascii="Calibri" w:eastAsia="Calibri" w:hAnsi="Calibri" w:cs="Times New Roman"/>
          <w:b/>
          <w:bCs/>
          <w:sz w:val="24"/>
          <w:szCs w:val="24"/>
        </w:rPr>
        <w:t>20</w:t>
      </w:r>
      <w:r w:rsidR="00FE7278">
        <w:rPr>
          <w:rFonts w:ascii="Calibri" w:eastAsia="Calibri" w:hAnsi="Calibri" w:cs="Times New Roman"/>
          <w:b/>
          <w:bCs/>
          <w:sz w:val="24"/>
          <w:szCs w:val="24"/>
        </w:rPr>
        <w:t>2</w:t>
      </w:r>
      <w:r w:rsidR="00671674">
        <w:rPr>
          <w:rFonts w:ascii="Calibri" w:eastAsia="Calibri" w:hAnsi="Calibri" w:cs="Times New Roman"/>
          <w:b/>
          <w:bCs/>
          <w:sz w:val="24"/>
          <w:szCs w:val="24"/>
        </w:rPr>
        <w:t>4</w:t>
      </w:r>
      <w:r w:rsidR="005B4F61">
        <w:rPr>
          <w:rFonts w:ascii="Calibri" w:eastAsia="Calibri" w:hAnsi="Calibri" w:cs="Times New Roman"/>
          <w:b/>
          <w:bCs/>
          <w:sz w:val="24"/>
          <w:szCs w:val="24"/>
        </w:rPr>
        <w:t xml:space="preserve"> - </w:t>
      </w:r>
      <w:r w:rsidR="005B4F61" w:rsidRPr="00C8624C">
        <w:rPr>
          <w:rFonts w:ascii="Calibri" w:eastAsia="Calibri" w:hAnsi="Calibri" w:cs="Times New Roman"/>
          <w:b/>
          <w:bCs/>
          <w:sz w:val="24"/>
          <w:szCs w:val="24"/>
        </w:rPr>
        <w:t>Fondazione GIMBE, Bologna</w:t>
      </w:r>
    </w:p>
    <w:p w14:paraId="3BDA06FD" w14:textId="77777777" w:rsidR="00A12ECA" w:rsidRDefault="00A12ECA" w:rsidP="00A12ECA">
      <w:pPr>
        <w:spacing w:after="120"/>
        <w:jc w:val="both"/>
      </w:pPr>
      <w:r>
        <w:rPr>
          <w:rFonts w:cstheme="minorHAnsi"/>
        </w:rPr>
        <w:t xml:space="preserve">Secondo quanto riportato sul </w:t>
      </w:r>
      <w:hyperlink r:id="rId8" w:anchor="tab-3" w:history="1">
        <w:r>
          <w:rPr>
            <w:rStyle w:val="Collegamentoipertestuale"/>
            <w:rFonts w:cstheme="minorHAnsi"/>
          </w:rPr>
          <w:t>sito del Ministero della Salute</w:t>
        </w:r>
      </w:hyperlink>
      <w:r>
        <w:rPr>
          <w:rFonts w:cstheme="minorHAnsi"/>
        </w:rPr>
        <w:t xml:space="preserve"> ogni cittadino iscritto al Servizio Sanitario Nazionale (SSN) ha diritto a un medico di medicina generale (MMG) – cd. medico di famiglia – attraverso il quale può accedere a tutti i servizi e prestazioni inclusi nei Livelli Essenziali di Assistenza (LEA). </w:t>
      </w:r>
      <w:r>
        <w:t>Il MMG non è un medico dipendente del SSN, ma lavora in convenzione con l’Azienda Sanitaria Locale (ASL): il suo rapporto di lavoro è regolamentato dall’Accordo Collettivo Nazionale (ACN), dagli Accordi Integrativi Regionali e dagli Accordi Attuativi Aziendali a livello delle singole ASL.</w:t>
      </w:r>
    </w:p>
    <w:p w14:paraId="364AE0E4" w14:textId="41F7AEEC" w:rsidR="00A12ECA" w:rsidRDefault="00A12ECA" w:rsidP="00A12ECA">
      <w:pPr>
        <w:spacing w:after="120"/>
        <w:jc w:val="both"/>
      </w:pPr>
      <w:r>
        <w:t>«L’allarme sulla carenza dei MMG – afferma Nino Cartabellotta Presidente della Fondazione GIMBE – oggi riguarda tutte le Regioni e</w:t>
      </w:r>
      <w:r w:rsidR="009605F2">
        <w:t>d è frutto di</w:t>
      </w:r>
      <w:r>
        <w:t xml:space="preserve"> un’inade</w:t>
      </w:r>
      <w:r w:rsidR="00FC1B73">
        <w:t>guata programmazione che non ha</w:t>
      </w:r>
      <w:r>
        <w:t xml:space="preserve"> garantito il ricambio generazionale in relazione ai pensionamenti attesi. </w:t>
      </w:r>
      <w:r w:rsidR="002E2ECD">
        <w:t xml:space="preserve">Così </w:t>
      </w:r>
      <w:r>
        <w:t>oggi spesso diventa un’impresa poter scegliere un MMG vicino a casa, con conseguenti disagi e rischi per la salute, in particolare di anziani e fragili</w:t>
      </w:r>
      <w:r>
        <w:rPr>
          <w:rFonts w:cstheme="minorHAnsi"/>
        </w:rPr>
        <w:t>».</w:t>
      </w:r>
    </w:p>
    <w:p w14:paraId="71A26184" w14:textId="21F650EF" w:rsidR="00A12ECA" w:rsidRDefault="00A12ECA" w:rsidP="00A12ECA">
      <w:pPr>
        <w:spacing w:after="120"/>
        <w:jc w:val="both"/>
      </w:pPr>
      <w:r>
        <w:rPr>
          <w:rFonts w:cstheme="minorHAnsi"/>
        </w:rPr>
        <w:t xml:space="preserve">Al fine di comprendere meglio il fenomeno, la Fondazione GIMBE ha analizzato le dinamiche e le criticità insite nelle norme che regolano l’inserimento dei MMG nel SSN e stimato l’entità della carenza attuale e futura di MMG nelle Regioni italiane. </w:t>
      </w:r>
      <w:r>
        <w:t xml:space="preserve">«Le nostre analisi – spiega Cartabellotta – sono tuttavia condizionate da alcuni rilevanti ostacoli. Innanzitutto, i 21 differenti Accordi Integrativi Regionali introducono una grande variabilità nella distribuzione degli assistiti in carico ai MMG e ciò può sovra- o sotto-stimare il reale fabbisogno in relazione alla situazione locale; in secondo luogo, su carenze e fabbisogni è possibile effettuare solo una stima media regionale, perché la reale necessità di MMG viene determinata da ciascuna ASL sugli ambiti territoriali di competenza. Infine, </w:t>
      </w:r>
      <w:r w:rsidR="002E2ECD">
        <w:t>i</w:t>
      </w:r>
      <w:r>
        <w:t xml:space="preserve"> dati ufficiali sugli assistiti in carico ai medici che stanno frequentando il Corso di Formazione Specifica in Medicina Generale</w:t>
      </w:r>
      <w:r w:rsidR="002E2ECD">
        <w:t xml:space="preserve"> non sono pubblicamente disponibili</w:t>
      </w:r>
      <w:r>
        <w:t xml:space="preserve">». </w:t>
      </w:r>
    </w:p>
    <w:p w14:paraId="018B95F4" w14:textId="77777777" w:rsidR="00E454E5" w:rsidRPr="00E454E5" w:rsidRDefault="00E454E5" w:rsidP="00A12ECA">
      <w:pPr>
        <w:spacing w:after="120"/>
        <w:jc w:val="both"/>
        <w:rPr>
          <w:sz w:val="4"/>
          <w:szCs w:val="4"/>
        </w:rPr>
      </w:pPr>
    </w:p>
    <w:p w14:paraId="4DAF76BA" w14:textId="77777777" w:rsidR="00A12ECA" w:rsidRDefault="00A12ECA" w:rsidP="00E454E5">
      <w:pPr>
        <w:spacing w:after="0"/>
        <w:jc w:val="both"/>
        <w:rPr>
          <w:rFonts w:cstheme="minorHAnsi"/>
        </w:rPr>
      </w:pPr>
      <w:r>
        <w:rPr>
          <w:rFonts w:cstheme="minorHAnsi"/>
          <w:b/>
          <w:bCs/>
        </w:rPr>
        <w:t>DINAMICHE E CRITICITÀ</w:t>
      </w:r>
    </w:p>
    <w:p w14:paraId="5F6AA27F" w14:textId="074E428B" w:rsidR="00A12ECA" w:rsidRDefault="00A12ECA" w:rsidP="00A12ECA">
      <w:pPr>
        <w:spacing w:after="120"/>
        <w:jc w:val="both"/>
      </w:pPr>
      <w:r>
        <w:rPr>
          <w:b/>
          <w:bCs/>
        </w:rPr>
        <w:t>Massimale di assisiti</w:t>
      </w:r>
      <w:r>
        <w:t>. Secondo quanto previsto dall’ACN, il numero massimo di assistiti di un MMG è fissato a 1.500: in casi particolari può essere incrementato fino a 1.800, numero che talora viene ulteriormente superato attraverso deroghe locali (es. fino a 2.000 nella Provincia Autonoma di Bolzano)</w:t>
      </w:r>
      <w:r>
        <w:rPr>
          <w:rFonts w:cstheme="minorHAnsi"/>
        </w:rPr>
        <w:t xml:space="preserve">, </w:t>
      </w:r>
      <w:r w:rsidR="00DD1A2E">
        <w:rPr>
          <w:rFonts w:cstheme="minorHAnsi"/>
        </w:rPr>
        <w:t xml:space="preserve">o per </w:t>
      </w:r>
      <w:r>
        <w:rPr>
          <w:rFonts w:cstheme="minorHAnsi"/>
        </w:rPr>
        <w:t>casi di indisponibilità di MMG oltre che per le</w:t>
      </w:r>
      <w:r w:rsidR="00826E81">
        <w:rPr>
          <w:rFonts w:cstheme="minorHAnsi"/>
        </w:rPr>
        <w:t xml:space="preserve"> </w:t>
      </w:r>
      <w:r>
        <w:rPr>
          <w:rFonts w:cstheme="minorHAnsi"/>
        </w:rPr>
        <w:t xml:space="preserve">scelte temporanee affidate al medico (es. extracomunitari senza permesso di soggiorno, non residenti). Parallelamente, esistono motivazioni che determinano un numero inferiore di assistiti: autolimitazione delle scelte, MMG con ulteriori incarichi (es. la continuità assistenziale) che ne limitano le scelte, MMG </w:t>
      </w:r>
      <w:r w:rsidR="00DD1A2E">
        <w:rPr>
          <w:rFonts w:cstheme="minorHAnsi"/>
        </w:rPr>
        <w:t>che si trovano nel</w:t>
      </w:r>
      <w:r>
        <w:rPr>
          <w:rFonts w:cstheme="minorHAnsi"/>
        </w:rPr>
        <w:t xml:space="preserve"> periodo iniziale di attività e/o che esercitano la professione in zone disagiate. </w:t>
      </w:r>
      <w:r>
        <w:t>«Per ciascun MMG – commenta il Presidente – il carico potenziale di assistiti rispetto a quello reale restituisce un quadro molto eterogeneo: accanto a una quota di MMG “ultra-massimalisti” che sfiora il 50% ci sono colleghi con un numero molto basso di assistiti». I dati forniti dal Ministero della Salute, riferiti all’anno</w:t>
      </w:r>
      <w:r>
        <w:rPr>
          <w:color w:val="FF0000"/>
        </w:rPr>
        <w:t xml:space="preserve"> </w:t>
      </w:r>
      <w:r>
        <w:t xml:space="preserve">2022, documentano infatti che </w:t>
      </w:r>
      <w:r>
        <w:rPr>
          <w:b/>
          <w:bCs/>
        </w:rPr>
        <w:t>su 39.366 MMG il 47,7% ha più di 1.500 assistiti; il 33% tra 1.001 e 1.500 assistiti; il 12,1% da 501 a 1.000; il 5,7% tra 51 e 500 e l’1,5% meno di 51</w:t>
      </w:r>
      <w:r>
        <w:t xml:space="preserve"> (</w:t>
      </w:r>
      <w:r>
        <w:rPr>
          <w:highlight w:val="yellow"/>
        </w:rPr>
        <w:t>figura 1</w:t>
      </w:r>
      <w:r>
        <w:t xml:space="preserve">).  In </w:t>
      </w:r>
      <w:r>
        <w:lastRenderedPageBreak/>
        <w:t xml:space="preserve">particolare, il massimale di 1.500 assistiti viene superato da più di un MMG su due in Emilia-Romagna (51,5%), Campania (58,4%), Provincia Autonoma di Trento (59,1%), Valle D’Aosta (59,2%), Veneto (64,7%). E addirittura da due </w:t>
      </w:r>
      <w:r w:rsidR="00DD1A2E">
        <w:t xml:space="preserve">MMG </w:t>
      </w:r>
      <w:r>
        <w:t>su tre nella Provincia Autonoma di Bolzano (66,3%) e in Lombardia (71%) (</w:t>
      </w:r>
      <w:r>
        <w:rPr>
          <w:highlight w:val="yellow"/>
        </w:rPr>
        <w:t>figura 2</w:t>
      </w:r>
      <w:r>
        <w:t>). «Questo sovraccarico di assistiti – commenta Cartabellotta – determina inevitabilmente una riduzione della disponibilità oraria e, soprattutto, della qualità dell’assistenza accendendo “spie rosse” su tre elementi fondamentali: la reale disponibilità di MMG in relazione alla densità abitativa, la distribuzione omogenea e capillare sul territorio e la possibilità per i cittadini di esercitare il diritto della libera scelta».</w:t>
      </w:r>
    </w:p>
    <w:p w14:paraId="18E8D5AE" w14:textId="77777777" w:rsidR="00A12ECA" w:rsidRDefault="00A12ECA" w:rsidP="00A12ECA">
      <w:pPr>
        <w:jc w:val="both"/>
      </w:pPr>
      <w:r>
        <w:rPr>
          <w:b/>
          <w:bCs/>
        </w:rPr>
        <w:t>Ambiti territoriali carenti</w:t>
      </w:r>
      <w:r>
        <w:t xml:space="preserve">. I nuovi MMG vengono inseriti nel SSN previa identificazione da parte della Regione (o soggetto da questa individuato) delle cosiddette “zone carenti”, ovvero gli ambiti territoriali dove è necessario colmare il fabbisogno e garantire una diffusione capillare dei MMG. Secondo l’ACN per ciascun ambito territoriale può essere iscritto un medico ogni 1.000 residenti o frazione di 1.000 superiore a 500 di età </w:t>
      </w:r>
      <w:r>
        <w:rPr>
          <w:rFonts w:cstheme="minorHAnsi"/>
        </w:rPr>
        <w:t>≥14 anni (cd</w:t>
      </w:r>
      <w:r>
        <w:t>. rapporto ottimale); è inoltre consentita, tramite gli Accordi Integrativi Regionali, una variazione di tale rapporto fino a 1.300 residenti per medico (+30%).</w:t>
      </w:r>
    </w:p>
    <w:p w14:paraId="375A2B22" w14:textId="77777777" w:rsidR="00A12ECA" w:rsidRDefault="00A12ECA" w:rsidP="00A12ECA">
      <w:pPr>
        <w:spacing w:after="120"/>
        <w:jc w:val="both"/>
      </w:pPr>
      <w:r>
        <w:rPr>
          <w:b/>
          <w:bCs/>
        </w:rPr>
        <w:t>Anzianità di laurea</w:t>
      </w:r>
      <w:r>
        <w:t>. «Desta non poche preoccupazioni – commenta Cartabellotta – la distribuzione anagrafica dei MMG: infatti</w:t>
      </w:r>
      <w:r>
        <w:rPr>
          <w:b/>
          <w:bCs/>
        </w:rPr>
        <w:t xml:space="preserve"> nel 2022 il 72,5% dei MMG in attività aveva oltre 27 anni di anzianità di laurea</w:t>
      </w:r>
      <w:r>
        <w:t>, con quasi tutte le Regioni del Centro-Sud sopra la media nazionale, anche in conseguenza di politiche sindacali che spesso non hanno favorito il ricambio generazionale». In particolare nella maggior parte delle Regioni meridionali gli MMG con oltre 27 anni di laurea sono più di 3 su 4: Calabria (89,4%), Sicilia (81,7%), Campania (80,7%), Sardegna (79,7%), Molise (78,4%), Basilicata (78,3%), Puglia (78%) (</w:t>
      </w:r>
      <w:r>
        <w:rPr>
          <w:highlight w:val="yellow"/>
        </w:rPr>
        <w:t>figura 3</w:t>
      </w:r>
      <w:r>
        <w:t xml:space="preserve">). </w:t>
      </w:r>
    </w:p>
    <w:p w14:paraId="193596AA" w14:textId="057F4423" w:rsidR="00A12ECA" w:rsidRDefault="00A12ECA" w:rsidP="001932CB">
      <w:pPr>
        <w:spacing w:after="120"/>
        <w:jc w:val="both"/>
      </w:pPr>
      <w:r>
        <w:rPr>
          <w:b/>
          <w:bCs/>
        </w:rPr>
        <w:t xml:space="preserve">Pensionamenti. </w:t>
      </w:r>
      <w:r>
        <w:t xml:space="preserve">Secondo i dati forniti dalla </w:t>
      </w:r>
      <w:r w:rsidR="001932CB">
        <w:t>Federazione Italiana dei Medici di Medicina Generale (</w:t>
      </w:r>
      <w:r>
        <w:t>FIMMG</w:t>
      </w:r>
      <w:r w:rsidR="001932CB">
        <w:t>)</w:t>
      </w:r>
      <w:r>
        <w:t xml:space="preserve">, </w:t>
      </w:r>
      <w:r>
        <w:rPr>
          <w:b/>
          <w:bCs/>
        </w:rPr>
        <w:t>tra il 2023 e il 2026 sono 11.439 gli MMG che hanno compiuto/compiranno 70 anni, raggiungendo così l’età massima per la pensione, deroghe a parte</w:t>
      </w:r>
      <w:r>
        <w:t>: dai 21 della Valle D’Aosta ai 1.539 della Lombardia (</w:t>
      </w:r>
      <w:r>
        <w:rPr>
          <w:highlight w:val="yellow"/>
        </w:rPr>
        <w:t>figura 4</w:t>
      </w:r>
      <w:r>
        <w:t>).</w:t>
      </w:r>
    </w:p>
    <w:p w14:paraId="37E1AD08" w14:textId="3B66B43F" w:rsidR="00A12ECA" w:rsidRDefault="00A12ECA" w:rsidP="00A12ECA">
      <w:pPr>
        <w:spacing w:after="120"/>
        <w:jc w:val="both"/>
        <w:rPr>
          <w:color w:val="FF0000"/>
        </w:rPr>
      </w:pPr>
      <w:r>
        <w:rPr>
          <w:b/>
          <w:bCs/>
        </w:rPr>
        <w:t>Nuovi MMG</w:t>
      </w:r>
      <w:r>
        <w:t>. Il numero di borse di studio ministeriali destinate al Corso di Formazione Specifica in Medicina Generale, dopo un periodo di sostanziale stabilità (2014-2017) intorno a 1.000 borse annue (</w:t>
      </w:r>
      <w:r>
        <w:rPr>
          <w:highlight w:val="yellow"/>
        </w:rPr>
        <w:t>figura 5</w:t>
      </w:r>
      <w:r>
        <w:t>), è aumentato raggiungendo un picco nel 2021 (n. 4.332). Tali incrementi sono dovuti sia alle risorse del DL Calabria che negli anni 2019-2022 hanno finanziato ulteriori 3.277 borse, sia a quelle del PNRR che negli anni 2021-2023 hanno finanziato complessivamente 2.700 borse aggiuntive. «</w:t>
      </w:r>
      <w:r w:rsidR="001932CB">
        <w:t xml:space="preserve">Solo </w:t>
      </w:r>
      <w:r>
        <w:t>attraverso finanziamenti straordinari</w:t>
      </w:r>
      <w:r w:rsidR="001932CB">
        <w:t xml:space="preserve"> dunque</w:t>
      </w:r>
      <w:r>
        <w:t xml:space="preserve"> </w:t>
      </w:r>
      <w:r w:rsidR="001932CB">
        <w:t>– chiosa Cartabellotta – è stato possibile</w:t>
      </w:r>
      <w:r>
        <w:t xml:space="preserve"> coprire il costo delle borse di studio, peraltro non sufficienti </w:t>
      </w:r>
      <w:r w:rsidR="001932CB">
        <w:t xml:space="preserve">a </w:t>
      </w:r>
      <w:r>
        <w:t>colmare il ricambio generazionale entro il 2026».</w:t>
      </w:r>
    </w:p>
    <w:p w14:paraId="67B7EB5D" w14:textId="77777777" w:rsidR="00A12ECA" w:rsidRPr="00E454E5" w:rsidRDefault="00A12ECA" w:rsidP="00A12ECA">
      <w:pPr>
        <w:spacing w:after="120"/>
        <w:jc w:val="both"/>
        <w:rPr>
          <w:b/>
          <w:bCs/>
          <w:sz w:val="4"/>
          <w:szCs w:val="4"/>
        </w:rPr>
      </w:pPr>
    </w:p>
    <w:p w14:paraId="15CD385D" w14:textId="77777777" w:rsidR="00A12ECA" w:rsidRDefault="00A12ECA" w:rsidP="00E454E5">
      <w:pPr>
        <w:spacing w:after="0"/>
        <w:jc w:val="both"/>
        <w:rPr>
          <w:b/>
          <w:bCs/>
        </w:rPr>
      </w:pPr>
      <w:r>
        <w:rPr>
          <w:b/>
          <w:bCs/>
        </w:rPr>
        <w:t>STIMA DELLE CARENZE ATTUALI E FUTURE</w:t>
      </w:r>
    </w:p>
    <w:p w14:paraId="7CF7F8A3" w14:textId="77AAE929" w:rsidR="00A12ECA" w:rsidRDefault="00A12ECA" w:rsidP="00A12ECA">
      <w:pPr>
        <w:spacing w:after="120"/>
        <w:jc w:val="both"/>
        <w:rPr>
          <w:b/>
          <w:bCs/>
        </w:rPr>
      </w:pPr>
      <w:r>
        <w:t xml:space="preserve">Per effettuare tali stime sono state utilizzate le </w:t>
      </w:r>
      <w:hyperlink r:id="rId9" w:history="1">
        <w:r w:rsidRPr="001932CB">
          <w:rPr>
            <w:rStyle w:val="Collegamentoipertestuale"/>
          </w:rPr>
          <w:t>rilevazioni della Struttura Interregionale Sanitari Convenzionati (SISAC) al 1 gennaio 2023</w:t>
        </w:r>
      </w:hyperlink>
      <w:r w:rsidRPr="001932CB">
        <w:t>, più recenti di quelle del Ministero della Salute.</w:t>
      </w:r>
      <w:r>
        <w:rPr>
          <w:rStyle w:val="Collegamentoipertestuale"/>
        </w:rPr>
        <w:t xml:space="preserve"> </w:t>
      </w:r>
    </w:p>
    <w:p w14:paraId="500A6F8A" w14:textId="77777777" w:rsidR="00A12ECA" w:rsidRDefault="00A12ECA" w:rsidP="00A12ECA">
      <w:pPr>
        <w:spacing w:after="120"/>
        <w:jc w:val="both"/>
      </w:pPr>
      <w:r>
        <w:rPr>
          <w:b/>
          <w:bCs/>
        </w:rPr>
        <w:t>Trend 2019-2022</w:t>
      </w:r>
      <w:r>
        <w:t xml:space="preserve">. I dati SISAC documentano una progressiva diminuzione dei MMG in attività: </w:t>
      </w:r>
      <w:r>
        <w:rPr>
          <w:b/>
          <w:bCs/>
        </w:rPr>
        <w:t>nel 2022 erano 37.860, ovvero 4.149 in meno rispetto al 2019 (-11%)</w:t>
      </w:r>
      <w:r>
        <w:t xml:space="preserve"> con notevoli variabilità regionali: dal -34,2% della Sardegna al -4,7% del Molise (</w:t>
      </w:r>
      <w:r>
        <w:rPr>
          <w:highlight w:val="yellow"/>
        </w:rPr>
        <w:t>figura 6</w:t>
      </w:r>
      <w:r>
        <w:t xml:space="preserve">). </w:t>
      </w:r>
    </w:p>
    <w:p w14:paraId="3B65D162" w14:textId="5F7B2CE6" w:rsidR="00A12ECA" w:rsidRDefault="00A12ECA" w:rsidP="00A12ECA">
      <w:pPr>
        <w:spacing w:after="120"/>
        <w:jc w:val="both"/>
      </w:pPr>
      <w:r>
        <w:rPr>
          <w:b/>
          <w:bCs/>
        </w:rPr>
        <w:t>Numero di assistiti per MMG</w:t>
      </w:r>
      <w:r>
        <w:t>. Secondo i dati SISAC</w:t>
      </w:r>
      <w:r>
        <w:rPr>
          <w:b/>
          <w:bCs/>
        </w:rPr>
        <w:t xml:space="preserve"> al 1° gennaio 2023 37.860 MMG avevano in carico oltre 51,2 milioni di assistiti</w:t>
      </w:r>
      <w:r>
        <w:t xml:space="preserve">. In termini assoluti, </w:t>
      </w:r>
      <w:r>
        <w:rPr>
          <w:b/>
          <w:bCs/>
        </w:rPr>
        <w:t>la media nazionale è di 1.353 assistiti per MMG rispetto ai 1.307 del 2022</w:t>
      </w:r>
      <w:r>
        <w:t>: dai 1.090 della Basilicata ai 1.646 della Provincia Autonoma di Bolzano (</w:t>
      </w:r>
      <w:r>
        <w:rPr>
          <w:highlight w:val="yellow"/>
        </w:rPr>
        <w:t>figura 7</w:t>
      </w:r>
      <w:r>
        <w:t xml:space="preserve">). «Lo scenario reale – precisa Cartabellotta – è molto più critico di quanto lascino trasparire i numeri: infatti, con questo livello di saturazione dei MMG si compromette il principio della libera scelta. Di conseguenza, è spesso impossibile trovare </w:t>
      </w:r>
      <w:r w:rsidR="000C0980">
        <w:t xml:space="preserve">la </w:t>
      </w:r>
      <w:r>
        <w:t>disponibilità di un MMG vicino a casa, non solo nelle cosiddette aree desertificate (zone a bassa densità abitativa, condizioni geografiche disagiate, rurali e periferiche) dove i bandi per gli ambiti territoriali carenti vanno spesso deserti, ma anche nelle grandi città metropolitane».</w:t>
      </w:r>
    </w:p>
    <w:p w14:paraId="4C1E64AF" w14:textId="77777777" w:rsidR="00A12ECA" w:rsidRDefault="00A12ECA" w:rsidP="00A12ECA">
      <w:pPr>
        <w:spacing w:after="120"/>
        <w:jc w:val="both"/>
      </w:pPr>
      <w:r>
        <w:rPr>
          <w:b/>
          <w:bCs/>
        </w:rPr>
        <w:lastRenderedPageBreak/>
        <w:t>Stima della carenza di MMG al 1° gennaio 2023</w:t>
      </w:r>
      <w:r>
        <w:t xml:space="preserve">. «In conseguenza delle criticità sopra rilevate – spiega Cartabellotta – è possibile stimare solo il fabbisogno medio regionale di MMG in relazione al numero di assistiti, in quanto la necessità di ciascun ambito territoriale carente viene identificato dalle ASL secondo variabili locali». Se l’obiettivo è garantire la qualità dell’assistenza, la distribuzione capillare in relazione alla densità abitativa, la prossimità degli ambulatori e l’esercizio della libera scelta, non si può far riferimento al massimale delle scelte per stimare il fabbisogno di MMG. Di conseguenza la Fondazione GIMBE, ritenendo accettabile un rapporto di 1 MMG ogni 1.250 assistiti (valore medio tra il massimale di 1.500 e l’attuale rapporto ottimale di 1.000) e utilizzando le </w:t>
      </w:r>
      <w:hyperlink r:id="rId10" w:history="1">
        <w:r>
          <w:rPr>
            <w:rStyle w:val="Collegamentoipertestuale"/>
          </w:rPr>
          <w:t>rilevazioni SISAC</w:t>
        </w:r>
      </w:hyperlink>
      <w:r>
        <w:t xml:space="preserve">, </w:t>
      </w:r>
      <w:r>
        <w:rPr>
          <w:b/>
          <w:bCs/>
        </w:rPr>
        <w:t>stima al 1° gennaio 2023 una carenza di 3.114 MMG, con situazioni più critiche nelle grandi Regioni del Nord</w:t>
      </w:r>
      <w:r>
        <w:t>: Lombardia (-1.237), Veneto (-609), Emilia Romagna (-418), Piemonte (-296), oltre che in Campania (-381) (</w:t>
      </w:r>
      <w:r>
        <w:rPr>
          <w:highlight w:val="yellow"/>
        </w:rPr>
        <w:t>figura 8</w:t>
      </w:r>
      <w:r>
        <w:t>).</w:t>
      </w:r>
    </w:p>
    <w:p w14:paraId="45095D5F" w14:textId="42A9E018" w:rsidR="00A12ECA" w:rsidRDefault="00A12ECA" w:rsidP="00A12ECA">
      <w:pPr>
        <w:spacing w:after="120"/>
        <w:jc w:val="both"/>
      </w:pPr>
      <w:r>
        <w:rPr>
          <w:b/>
          <w:bCs/>
        </w:rPr>
        <w:t>Stima della carenza di MMG al 2026</w:t>
      </w:r>
      <w:r>
        <w:t xml:space="preserve">. Tenendo conto dei pensionamenti attesi e del numero di borse di studio finanziate per il Corso di Formazione in Medicina Generale, è stata stimata la carenza di MMG al 2026, anno in cui dovrebbe “decollare” la riforma dell’assistenza territoriale prevista dal PNRR. Considerando l’età di pensionamento ordinaria di 70 anni e il numero borse di studio messe a bando per gli anni 2020-2023 comprensive di quelle del DL Calabria per cui si sono presentati candidati, </w:t>
      </w:r>
      <w:r>
        <w:rPr>
          <w:b/>
          <w:bCs/>
        </w:rPr>
        <w:t>nel 2026 il numero dei MMG diminuirà di 135 unità rispetto al 2022</w:t>
      </w:r>
      <w:r>
        <w:t xml:space="preserve">, </w:t>
      </w:r>
      <w:r w:rsidR="00256137">
        <w:t xml:space="preserve">ma </w:t>
      </w:r>
      <w:r>
        <w:t>con nette differenze regionali (</w:t>
      </w:r>
      <w:r>
        <w:rPr>
          <w:highlight w:val="yellow"/>
        </w:rPr>
        <w:t>figura 9</w:t>
      </w:r>
      <w:r>
        <w:t xml:space="preserve">). In particolare </w:t>
      </w:r>
      <w:r>
        <w:rPr>
          <w:b/>
          <w:bCs/>
        </w:rPr>
        <w:t>saranno tutte le Regioni del Sud (tranne il Molise) nel 2026 a scontare la maggior riduzione di MMG: Campania (-384), Puglia (-175), Sicilia (-155), Calabria (-135), Abruzzo (-47), Basilicata (-</w:t>
      </w:r>
      <w:r w:rsidR="00967261">
        <w:rPr>
          <w:b/>
          <w:bCs/>
        </w:rPr>
        <w:t>35</w:t>
      </w:r>
      <w:r>
        <w:rPr>
          <w:b/>
          <w:bCs/>
        </w:rPr>
        <w:t xml:space="preserve">), Sardegna (-9,) oltre a Lazio (-231), Liguria (-36) e Friuli Venezia Giulia (-22). </w:t>
      </w:r>
      <w:r>
        <w:t xml:space="preserve">La stima dell’entità della carenza è condizionata da differenti fattori. In particolare, è sottostimata </w:t>
      </w:r>
      <w:r w:rsidR="000C0980">
        <w:t xml:space="preserve">dall’eventuale </w:t>
      </w:r>
      <w:r>
        <w:t xml:space="preserve">scelta dei MMG di andare in pensione prima dei 70 anni, dal numero di borse non assegnate e dall’abbandono del </w:t>
      </w:r>
      <w:r w:rsidR="000C0980">
        <w:t>C</w:t>
      </w:r>
      <w:r>
        <w:t>orso di Formazione in Medicina Generale</w:t>
      </w:r>
      <w:r w:rsidR="000C0980">
        <w:t xml:space="preserve"> (</w:t>
      </w:r>
      <w:r>
        <w:t>almeno 20%</w:t>
      </w:r>
      <w:r w:rsidR="000C0980">
        <w:t>)</w:t>
      </w:r>
      <w:r>
        <w:t xml:space="preserve">. </w:t>
      </w:r>
      <w:bookmarkStart w:id="1" w:name="_Hlk160621878"/>
      <w:r>
        <w:t>Viene al contrario sovrastimata dall</w:t>
      </w:r>
      <w:r w:rsidR="00062CF6">
        <w:t xml:space="preserve">’eventuale decisione </w:t>
      </w:r>
      <w:r>
        <w:t xml:space="preserve">dei MMG di prolungare l’attività sino ai 72 anni e dalla possibilità dei medici iscritti al Corso di Formazione in Medicina Generale di acquisire già dal primo anno sino a 1.000 assistiti. </w:t>
      </w:r>
      <w:bookmarkEnd w:id="1"/>
      <w:r>
        <w:t>«Infine – commenta Cartabellotta – tali stime risentiranno del nuovo ACN recentemente sottoscritto</w:t>
      </w:r>
      <w:r w:rsidR="000C0980">
        <w:t>,</w:t>
      </w:r>
      <w:r>
        <w:t xml:space="preserve"> nel quale sono </w:t>
      </w:r>
      <w:r w:rsidR="002F25B1">
        <w:t>previste varie novità</w:t>
      </w:r>
      <w:r>
        <w:t xml:space="preserve">». </w:t>
      </w:r>
    </w:p>
    <w:p w14:paraId="281D75F2" w14:textId="20F824A6" w:rsidR="00454AF0" w:rsidRDefault="00A12ECA" w:rsidP="00256137">
      <w:pPr>
        <w:spacing w:after="120"/>
        <w:jc w:val="both"/>
      </w:pPr>
      <w:r>
        <w:t xml:space="preserve">«La progressiva carenza di MMG – conclude Cartabellotta – consegue sia ad errori </w:t>
      </w:r>
      <w:r w:rsidR="00F53C1D">
        <w:t>nella pianificazione del</w:t>
      </w:r>
      <w:r>
        <w:t xml:space="preserve"> ricambio generazionale, in particolare la mancata sincronia per bilanciare pensionamenti attesi e finanziamento delle borse di studio, sia a politiche sindacali non sempre lineari. </w:t>
      </w:r>
      <w:r w:rsidR="00F53C1D">
        <w:t>E</w:t>
      </w:r>
      <w:r>
        <w:t xml:space="preserve"> le soluzioni attuate</w:t>
      </w:r>
      <w:r w:rsidR="00460012">
        <w:t>, quali l’innalzamento dell</w:t>
      </w:r>
      <w:r>
        <w:t>’età pensionabile a 72 anni</w:t>
      </w:r>
      <w:r w:rsidR="00460012">
        <w:t xml:space="preserve">, la possibilità per gli </w:t>
      </w:r>
      <w:r>
        <w:t xml:space="preserve">iscritti al Corso di Formazione in Medicina Generale di acquisire sino a 1.000 </w:t>
      </w:r>
      <w:r w:rsidR="00460012">
        <w:t>assistiti e le deroghe regionali all’aumento del massimale</w:t>
      </w:r>
      <w:r w:rsidR="00F53C1D">
        <w:t>,</w:t>
      </w:r>
      <w:r>
        <w:t xml:space="preserve"> servono solo a </w:t>
      </w:r>
      <w:r w:rsidR="00E454E5">
        <w:t>“</w:t>
      </w:r>
      <w:r w:rsidR="00F53C1D">
        <w:t>tamponare”</w:t>
      </w:r>
      <w:r w:rsidR="00DB24B4">
        <w:t xml:space="preserve"> </w:t>
      </w:r>
      <w:r w:rsidR="00F53C1D">
        <w:t>le criticità</w:t>
      </w:r>
      <w:r>
        <w:t xml:space="preserve">, senza risolvere </w:t>
      </w:r>
      <w:r w:rsidR="00F53C1D">
        <w:t>il problema</w:t>
      </w:r>
      <w:r w:rsidR="00460012" w:rsidRPr="00460012">
        <w:t xml:space="preserve"> </w:t>
      </w:r>
      <w:r w:rsidR="00460012">
        <w:t>alla radice</w:t>
      </w:r>
      <w:r>
        <w:t xml:space="preserve">. </w:t>
      </w:r>
      <w:r w:rsidR="00F53C1D">
        <w:t>Occorre dunque mettere in campo</w:t>
      </w:r>
      <w:r>
        <w:t xml:space="preserve"> </w:t>
      </w:r>
      <w:r w:rsidR="00F53C1D">
        <w:t xml:space="preserve">al più presto </w:t>
      </w:r>
      <w:r>
        <w:t xml:space="preserve">una strategia multifattoriale: adeguata programmazione del fabbisogno, tempestiva pubblicazione da parte delle Regioni dei bandi per le borse di studio, </w:t>
      </w:r>
      <w:r w:rsidR="00F53C1D">
        <w:t xml:space="preserve">adozione </w:t>
      </w:r>
      <w:r>
        <w:t xml:space="preserve">di modelli organizzativi che </w:t>
      </w:r>
      <w:r w:rsidR="00F53C1D">
        <w:t xml:space="preserve">promuovano </w:t>
      </w:r>
      <w:r>
        <w:t xml:space="preserve">il lavoro in team, </w:t>
      </w:r>
      <w:r w:rsidR="00F53C1D">
        <w:t xml:space="preserve">effettiva realizzazione </w:t>
      </w:r>
      <w:r>
        <w:t>della riforma dell’assistenza territoriale prevista dal PNRR (Case di comunità, Ospedali di Comunità, assistenza domiciliare, telemedicina)</w:t>
      </w:r>
      <w:r w:rsidR="00D123EC">
        <w:t>, accordi sindacali in linea con il ricambio generazionale e la distribuzione capillare dei MMG</w:t>
      </w:r>
      <w:r>
        <w:t xml:space="preserve">. </w:t>
      </w:r>
      <w:r w:rsidR="00F53C1D">
        <w:t>G</w:t>
      </w:r>
      <w:r>
        <w:t xml:space="preserve">uardando ai numeri, </w:t>
      </w:r>
      <w:r w:rsidR="00F53C1D">
        <w:t xml:space="preserve">infatti, oltre </w:t>
      </w:r>
      <w:r>
        <w:t>all</w:t>
      </w:r>
      <w:r w:rsidR="00D123EC">
        <w:t xml:space="preserve">e </w:t>
      </w:r>
      <w:r>
        <w:t>carenz</w:t>
      </w:r>
      <w:r w:rsidR="00460012">
        <w:t>e</w:t>
      </w:r>
      <w:r>
        <w:t xml:space="preserve"> già esistent</w:t>
      </w:r>
      <w:r w:rsidR="00460012">
        <w:t>i</w:t>
      </w:r>
      <w:r>
        <w:t xml:space="preserve">, le </w:t>
      </w:r>
      <w:r w:rsidR="00F53C1D">
        <w:t xml:space="preserve">proiezioni indicano </w:t>
      </w:r>
      <w:r w:rsidR="00460012">
        <w:t xml:space="preserve">– in particolare per le Regioni del Sud </w:t>
      </w:r>
      <w:r w:rsidR="00E454E5">
        <w:t>–</w:t>
      </w:r>
      <w:r w:rsidR="00460012">
        <w:t xml:space="preserve"> </w:t>
      </w:r>
      <w:r w:rsidR="00F53C1D">
        <w:t>un ulteriore calo dei</w:t>
      </w:r>
      <w:r>
        <w:t xml:space="preserve"> </w:t>
      </w:r>
      <w:r w:rsidR="00F53C1D">
        <w:t>MMG</w:t>
      </w:r>
      <w:r>
        <w:t xml:space="preserve"> nei prossimi anni. Una “desertificazione” che lascerà scoperte milioni di persone</w:t>
      </w:r>
      <w:r w:rsidR="00F53C1D">
        <w:t>, aggravando i problemi</w:t>
      </w:r>
      <w:r>
        <w:t xml:space="preserve"> per l’organizzazione dell’assistenza sanitaria territoriale e soprattutto per la salute dell</w:t>
      </w:r>
      <w:r w:rsidR="00460012">
        <w:t>e persone</w:t>
      </w:r>
      <w:r>
        <w:t>, in particolare anziani e fragili».</w:t>
      </w:r>
    </w:p>
    <w:p w14:paraId="0D42801C" w14:textId="77777777" w:rsidR="00001559" w:rsidRDefault="001E3647" w:rsidP="00001559">
      <w:pPr>
        <w:spacing w:after="0"/>
      </w:pPr>
      <w:r w:rsidRPr="00E3755B">
        <w:rPr>
          <w:rFonts w:ascii="Calibri" w:eastAsia="Calibri" w:hAnsi="Calibri" w:cs="Times New Roman"/>
          <w:b/>
          <w:bCs/>
        </w:rPr>
        <w:t>Fondazione GIMBE</w:t>
      </w:r>
      <w:r w:rsidRPr="00E3755B">
        <w:rPr>
          <w:rFonts w:ascii="Trebuchet MS" w:eastAsia="Calibri" w:hAnsi="Trebuchet MS" w:cs="Times New Roman"/>
        </w:rPr>
        <w:br/>
      </w:r>
      <w:r w:rsidRPr="00E3755B">
        <w:rPr>
          <w:rFonts w:ascii="Calibri" w:eastAsia="Calibri" w:hAnsi="Calibri" w:cs="Times New Roman"/>
          <w:sz w:val="20"/>
          <w:szCs w:val="20"/>
        </w:rPr>
        <w:t>Via Amendola 2 - 40121 Bologna</w:t>
      </w:r>
    </w:p>
    <w:p w14:paraId="4B3978AE" w14:textId="77777777" w:rsidR="001E3647" w:rsidRPr="00001559" w:rsidRDefault="001E3647" w:rsidP="00001559">
      <w:pPr>
        <w:spacing w:after="0"/>
      </w:pPr>
      <w:r w:rsidRPr="00E3755B">
        <w:rPr>
          <w:rFonts w:ascii="Calibri" w:eastAsia="Calibri" w:hAnsi="Calibri" w:cs="Times New Roman"/>
          <w:sz w:val="20"/>
          <w:szCs w:val="20"/>
        </w:rPr>
        <w:t>Tel. 051 5883920 - Fax 051 4075774</w:t>
      </w:r>
    </w:p>
    <w:p w14:paraId="76D78220" w14:textId="77777777" w:rsidR="001E3647" w:rsidRPr="006B4075" w:rsidRDefault="001E3647" w:rsidP="00001559">
      <w:pPr>
        <w:spacing w:after="0"/>
        <w:rPr>
          <w:rFonts w:ascii="Calibri" w:eastAsia="Calibri" w:hAnsi="Calibri" w:cs="Times New Roman"/>
          <w:sz w:val="20"/>
          <w:szCs w:val="20"/>
        </w:rPr>
      </w:pPr>
      <w:r w:rsidRPr="00E3755B">
        <w:rPr>
          <w:rFonts w:ascii="Calibri" w:eastAsia="Calibri" w:hAnsi="Calibri" w:cs="Times New Roman"/>
          <w:sz w:val="20"/>
          <w:szCs w:val="20"/>
        </w:rPr>
        <w:t xml:space="preserve">E-mail: </w:t>
      </w:r>
      <w:hyperlink r:id="rId11" w:history="1">
        <w:r w:rsidRPr="00E3755B">
          <w:rPr>
            <w:rFonts w:ascii="Calibri" w:eastAsia="Calibri" w:hAnsi="Calibri" w:cs="Times New Roman"/>
            <w:sz w:val="20"/>
            <w:szCs w:val="20"/>
          </w:rPr>
          <w:t>ufficio.stampa@gimbe.org</w:t>
        </w:r>
      </w:hyperlink>
    </w:p>
    <w:p w14:paraId="44A7FA70" w14:textId="77777777" w:rsidR="004156A9" w:rsidRDefault="004156A9">
      <w:pPr>
        <w:rPr>
          <w:rFonts w:cstheme="minorHAnsi"/>
        </w:rPr>
      </w:pPr>
      <w:bookmarkStart w:id="2" w:name="_Hlk132374043"/>
      <w:r>
        <w:rPr>
          <w:rFonts w:cstheme="minorHAnsi"/>
        </w:rPr>
        <w:br w:type="page"/>
      </w:r>
    </w:p>
    <w:bookmarkEnd w:id="2"/>
    <w:p w14:paraId="228FB5A1" w14:textId="77777777" w:rsidR="00CA78D1" w:rsidRDefault="00CA78D1" w:rsidP="009252ED">
      <w:pPr>
        <w:spacing w:after="120"/>
        <w:jc w:val="center"/>
        <w:rPr>
          <w:rFonts w:cstheme="minorHAnsi"/>
          <w:b/>
          <w:color w:val="00457D"/>
          <w:sz w:val="20"/>
        </w:rPr>
      </w:pPr>
    </w:p>
    <w:p w14:paraId="5FDB1C7D" w14:textId="5DB92365" w:rsidR="00057A5B" w:rsidRDefault="00057A5B" w:rsidP="009252ED">
      <w:pPr>
        <w:spacing w:after="120"/>
        <w:jc w:val="center"/>
        <w:rPr>
          <w:rFonts w:cstheme="minorHAnsi"/>
          <w:b/>
          <w:color w:val="00457D"/>
          <w:sz w:val="20"/>
        </w:rPr>
      </w:pPr>
      <w:r w:rsidRPr="0024739E">
        <w:rPr>
          <w:rFonts w:cstheme="minorHAnsi"/>
          <w:b/>
          <w:color w:val="00457D"/>
          <w:sz w:val="20"/>
        </w:rPr>
        <w:t xml:space="preserve">Figura 1. Numero di </w:t>
      </w:r>
      <w:r>
        <w:rPr>
          <w:rFonts w:cstheme="minorHAnsi"/>
          <w:b/>
          <w:color w:val="00457D"/>
          <w:sz w:val="20"/>
        </w:rPr>
        <w:t>assistiti</w:t>
      </w:r>
      <w:r w:rsidRPr="0024739E">
        <w:rPr>
          <w:rFonts w:cstheme="minorHAnsi"/>
          <w:b/>
          <w:color w:val="00457D"/>
          <w:sz w:val="20"/>
        </w:rPr>
        <w:t xml:space="preserve"> per MMG</w:t>
      </w:r>
      <w:r>
        <w:rPr>
          <w:rFonts w:cstheme="minorHAnsi"/>
          <w:b/>
          <w:color w:val="00457D"/>
          <w:sz w:val="20"/>
        </w:rPr>
        <w:t xml:space="preserve"> (% sul totale)</w:t>
      </w:r>
    </w:p>
    <w:p w14:paraId="7B3F7B6B" w14:textId="7E320447" w:rsidR="00A07051" w:rsidRDefault="00A640FB" w:rsidP="00786BC4">
      <w:pPr>
        <w:spacing w:after="0"/>
        <w:jc w:val="center"/>
        <w:rPr>
          <w:rFonts w:cstheme="minorHAnsi"/>
          <w:b/>
          <w:color w:val="00457D"/>
          <w:sz w:val="20"/>
        </w:rPr>
      </w:pPr>
      <w:r>
        <w:rPr>
          <w:rFonts w:cstheme="minorHAnsi"/>
          <w:b/>
          <w:noProof/>
          <w:color w:val="00457D"/>
          <w:sz w:val="20"/>
          <w:lang w:eastAsia="it-IT"/>
        </w:rPr>
        <w:drawing>
          <wp:inline distT="0" distB="0" distL="0" distR="0" wp14:anchorId="34092077" wp14:editId="2A2A95D9">
            <wp:extent cx="4320000" cy="2666217"/>
            <wp:effectExtent l="0" t="0" r="4445" b="127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20000" cy="2666217"/>
                    </a:xfrm>
                    <a:prstGeom prst="rect">
                      <a:avLst/>
                    </a:prstGeom>
                    <a:noFill/>
                  </pic:spPr>
                </pic:pic>
              </a:graphicData>
            </a:graphic>
          </wp:inline>
        </w:drawing>
      </w:r>
    </w:p>
    <w:p w14:paraId="28B5C3F6" w14:textId="013F08F8" w:rsidR="00B560F9" w:rsidRDefault="00B560F9" w:rsidP="000410F5">
      <w:pPr>
        <w:spacing w:after="0"/>
        <w:jc w:val="center"/>
        <w:rPr>
          <w:rFonts w:cstheme="minorHAnsi"/>
          <w:b/>
          <w:color w:val="00457D"/>
          <w:sz w:val="20"/>
        </w:rPr>
      </w:pPr>
    </w:p>
    <w:p w14:paraId="0BA1EACB" w14:textId="77777777" w:rsidR="00CA78D1" w:rsidRDefault="00CA78D1" w:rsidP="009252ED">
      <w:pPr>
        <w:spacing w:after="120"/>
        <w:jc w:val="center"/>
        <w:rPr>
          <w:rFonts w:cstheme="minorHAnsi"/>
          <w:b/>
          <w:color w:val="00457D"/>
          <w:sz w:val="20"/>
        </w:rPr>
      </w:pPr>
    </w:p>
    <w:p w14:paraId="6A47C99D" w14:textId="1179E063" w:rsidR="00057A5B" w:rsidRDefault="00057A5B" w:rsidP="009252ED">
      <w:pPr>
        <w:spacing w:after="120"/>
        <w:jc w:val="center"/>
        <w:rPr>
          <w:rFonts w:cstheme="minorHAnsi"/>
          <w:b/>
          <w:color w:val="00457D"/>
          <w:sz w:val="20"/>
        </w:rPr>
      </w:pPr>
      <w:r w:rsidRPr="0024739E">
        <w:rPr>
          <w:rFonts w:cstheme="minorHAnsi"/>
          <w:b/>
          <w:color w:val="00457D"/>
          <w:sz w:val="20"/>
        </w:rPr>
        <w:t>Figura 2. MMG con oltre 1.500 assistiti (% sul totale)</w:t>
      </w:r>
    </w:p>
    <w:p w14:paraId="602B8CA2" w14:textId="2E7CCEC2" w:rsidR="00B81B43" w:rsidRDefault="00740765" w:rsidP="00786BC4">
      <w:pPr>
        <w:spacing w:after="0"/>
        <w:jc w:val="center"/>
        <w:rPr>
          <w:rFonts w:cstheme="minorHAnsi"/>
          <w:color w:val="00457D"/>
        </w:rPr>
      </w:pPr>
      <w:r>
        <w:rPr>
          <w:rFonts w:cstheme="minorHAnsi"/>
          <w:noProof/>
          <w:color w:val="00457D"/>
          <w:lang w:eastAsia="it-IT"/>
        </w:rPr>
        <w:drawing>
          <wp:inline distT="0" distB="0" distL="0" distR="0" wp14:anchorId="6A64FABB" wp14:editId="617AECAA">
            <wp:extent cx="4320000" cy="3746461"/>
            <wp:effectExtent l="0" t="0" r="4445" b="698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20000" cy="3746461"/>
                    </a:xfrm>
                    <a:prstGeom prst="rect">
                      <a:avLst/>
                    </a:prstGeom>
                    <a:noFill/>
                  </pic:spPr>
                </pic:pic>
              </a:graphicData>
            </a:graphic>
          </wp:inline>
        </w:drawing>
      </w:r>
    </w:p>
    <w:p w14:paraId="16C8A5C9" w14:textId="77777777" w:rsidR="00944563" w:rsidRPr="00665387" w:rsidRDefault="00944563" w:rsidP="000410F5">
      <w:pPr>
        <w:spacing w:after="0"/>
        <w:jc w:val="center"/>
        <w:rPr>
          <w:rFonts w:cstheme="minorHAnsi"/>
          <w:b/>
          <w:color w:val="00457D"/>
          <w:sz w:val="10"/>
        </w:rPr>
      </w:pPr>
    </w:p>
    <w:p w14:paraId="06A5BE2F" w14:textId="1F7DCF0B" w:rsidR="006D7A16" w:rsidRDefault="006D7A16" w:rsidP="00057A5B">
      <w:pPr>
        <w:spacing w:after="0"/>
        <w:rPr>
          <w:rFonts w:cstheme="minorHAnsi"/>
          <w:color w:val="00457D"/>
        </w:rPr>
      </w:pPr>
    </w:p>
    <w:p w14:paraId="6B790D00" w14:textId="77777777" w:rsidR="009252ED" w:rsidRDefault="009252ED">
      <w:pPr>
        <w:rPr>
          <w:rFonts w:cstheme="minorHAnsi"/>
          <w:b/>
          <w:color w:val="00457D"/>
          <w:sz w:val="20"/>
        </w:rPr>
      </w:pPr>
      <w:r>
        <w:rPr>
          <w:rFonts w:cstheme="minorHAnsi"/>
          <w:b/>
          <w:color w:val="00457D"/>
          <w:sz w:val="20"/>
        </w:rPr>
        <w:br w:type="page"/>
      </w:r>
    </w:p>
    <w:p w14:paraId="37F6C895" w14:textId="77777777" w:rsidR="00CA78D1" w:rsidRDefault="00CA78D1" w:rsidP="00483C4E">
      <w:pPr>
        <w:spacing w:after="120"/>
        <w:jc w:val="center"/>
        <w:rPr>
          <w:rFonts w:cstheme="minorHAnsi"/>
          <w:b/>
          <w:color w:val="00457D"/>
          <w:sz w:val="20"/>
          <w:szCs w:val="20"/>
        </w:rPr>
      </w:pPr>
    </w:p>
    <w:p w14:paraId="5999C73D" w14:textId="1E9AE959" w:rsidR="00483C4E" w:rsidRPr="00057A5B" w:rsidRDefault="00483C4E" w:rsidP="00483C4E">
      <w:pPr>
        <w:spacing w:after="120"/>
        <w:jc w:val="center"/>
        <w:rPr>
          <w:rFonts w:cstheme="minorHAnsi"/>
          <w:b/>
          <w:color w:val="00457D"/>
          <w:sz w:val="20"/>
          <w:szCs w:val="20"/>
        </w:rPr>
      </w:pPr>
      <w:r w:rsidRPr="00057A5B">
        <w:rPr>
          <w:rFonts w:cstheme="minorHAnsi"/>
          <w:b/>
          <w:color w:val="00457D"/>
          <w:sz w:val="20"/>
          <w:szCs w:val="20"/>
        </w:rPr>
        <w:t xml:space="preserve">Figura </w:t>
      </w:r>
      <w:r>
        <w:rPr>
          <w:rFonts w:cstheme="minorHAnsi"/>
          <w:b/>
          <w:color w:val="00457D"/>
          <w:sz w:val="20"/>
          <w:szCs w:val="20"/>
        </w:rPr>
        <w:t>3</w:t>
      </w:r>
      <w:r w:rsidRPr="00057A5B">
        <w:rPr>
          <w:rFonts w:cstheme="minorHAnsi"/>
          <w:b/>
          <w:color w:val="00457D"/>
          <w:sz w:val="20"/>
          <w:szCs w:val="20"/>
        </w:rPr>
        <w:t>. MMG con oltre 27 anni di laurea (% sul totale)</w:t>
      </w:r>
    </w:p>
    <w:p w14:paraId="6ED4F8F4" w14:textId="77777777" w:rsidR="00483C4E" w:rsidRDefault="00483C4E" w:rsidP="00483C4E">
      <w:pPr>
        <w:spacing w:after="0"/>
        <w:jc w:val="center"/>
        <w:rPr>
          <w:rFonts w:cstheme="minorHAnsi"/>
          <w:b/>
          <w:color w:val="00457D"/>
          <w:sz w:val="20"/>
          <w:szCs w:val="20"/>
        </w:rPr>
      </w:pPr>
      <w:r>
        <w:rPr>
          <w:rFonts w:cstheme="minorHAnsi"/>
          <w:b/>
          <w:noProof/>
          <w:color w:val="00457D"/>
          <w:sz w:val="20"/>
          <w:lang w:eastAsia="it-IT"/>
        </w:rPr>
        <w:drawing>
          <wp:inline distT="0" distB="0" distL="0" distR="0" wp14:anchorId="13491570" wp14:editId="75C82BD9">
            <wp:extent cx="4320000" cy="4097064"/>
            <wp:effectExtent l="0" t="0" r="4445"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20000" cy="4097064"/>
                    </a:xfrm>
                    <a:prstGeom prst="rect">
                      <a:avLst/>
                    </a:prstGeom>
                    <a:noFill/>
                  </pic:spPr>
                </pic:pic>
              </a:graphicData>
            </a:graphic>
          </wp:inline>
        </w:drawing>
      </w:r>
    </w:p>
    <w:p w14:paraId="361CE28A" w14:textId="53EBB8A6" w:rsidR="00483C4E" w:rsidRDefault="00483C4E" w:rsidP="00483C4E">
      <w:pPr>
        <w:spacing w:after="0"/>
        <w:jc w:val="center"/>
        <w:rPr>
          <w:rFonts w:cstheme="minorHAnsi"/>
          <w:b/>
          <w:color w:val="00457D"/>
          <w:sz w:val="20"/>
          <w:szCs w:val="20"/>
        </w:rPr>
      </w:pPr>
    </w:p>
    <w:p w14:paraId="1517ADDF" w14:textId="77777777" w:rsidR="00CA78D1" w:rsidRDefault="00CA78D1" w:rsidP="00483C4E">
      <w:pPr>
        <w:spacing w:after="0"/>
        <w:jc w:val="center"/>
        <w:rPr>
          <w:rFonts w:cstheme="minorHAnsi"/>
          <w:b/>
          <w:color w:val="00457D"/>
          <w:sz w:val="20"/>
          <w:szCs w:val="20"/>
        </w:rPr>
      </w:pPr>
    </w:p>
    <w:p w14:paraId="1E64E147" w14:textId="63E7E355" w:rsidR="006D7A16" w:rsidRPr="00483C4E" w:rsidRDefault="006D7A16" w:rsidP="00483C4E">
      <w:pPr>
        <w:spacing w:after="120"/>
        <w:jc w:val="center"/>
        <w:rPr>
          <w:rFonts w:cstheme="minorHAnsi"/>
          <w:b/>
          <w:color w:val="00457D"/>
          <w:sz w:val="20"/>
          <w:szCs w:val="20"/>
        </w:rPr>
      </w:pPr>
      <w:r w:rsidRPr="00483C4E">
        <w:rPr>
          <w:rFonts w:cstheme="minorHAnsi"/>
          <w:b/>
          <w:color w:val="00457D"/>
          <w:sz w:val="20"/>
          <w:szCs w:val="20"/>
        </w:rPr>
        <w:t xml:space="preserve">Figura </w:t>
      </w:r>
      <w:r w:rsidR="00483C4E" w:rsidRPr="00483C4E">
        <w:rPr>
          <w:rFonts w:cstheme="minorHAnsi"/>
          <w:b/>
          <w:color w:val="00457D"/>
          <w:sz w:val="20"/>
          <w:szCs w:val="20"/>
        </w:rPr>
        <w:t>4</w:t>
      </w:r>
      <w:r w:rsidRPr="00483C4E">
        <w:rPr>
          <w:rFonts w:cstheme="minorHAnsi"/>
          <w:b/>
          <w:color w:val="00457D"/>
          <w:sz w:val="20"/>
          <w:szCs w:val="20"/>
        </w:rPr>
        <w:t xml:space="preserve">. </w:t>
      </w:r>
      <w:r w:rsidR="00460012" w:rsidRPr="00460012">
        <w:rPr>
          <w:rFonts w:cstheme="minorHAnsi"/>
          <w:b/>
          <w:color w:val="00457D"/>
          <w:sz w:val="20"/>
          <w:szCs w:val="20"/>
        </w:rPr>
        <w:t xml:space="preserve">MMG che </w:t>
      </w:r>
      <w:r w:rsidR="00DB24B4">
        <w:rPr>
          <w:rFonts w:cstheme="minorHAnsi"/>
          <w:b/>
          <w:color w:val="00457D"/>
          <w:sz w:val="20"/>
          <w:szCs w:val="20"/>
        </w:rPr>
        <w:t>entro il</w:t>
      </w:r>
      <w:r w:rsidR="00460012" w:rsidRPr="00460012">
        <w:rPr>
          <w:rFonts w:cstheme="minorHAnsi"/>
          <w:b/>
          <w:color w:val="00457D"/>
          <w:sz w:val="20"/>
          <w:szCs w:val="20"/>
        </w:rPr>
        <w:t xml:space="preserve"> 2026 raggiungono l’età di pensionamento di 70 anni</w:t>
      </w:r>
    </w:p>
    <w:p w14:paraId="0907D065" w14:textId="173D9043" w:rsidR="00057A5B" w:rsidRPr="009252ED" w:rsidRDefault="009329EF" w:rsidP="006D7A16">
      <w:pPr>
        <w:jc w:val="center"/>
        <w:rPr>
          <w:rFonts w:cstheme="minorHAnsi"/>
          <w:bCs/>
          <w:sz w:val="20"/>
        </w:rPr>
      </w:pPr>
      <w:r>
        <w:rPr>
          <w:rFonts w:cstheme="minorHAnsi"/>
          <w:bCs/>
          <w:noProof/>
          <w:sz w:val="20"/>
          <w:lang w:eastAsia="it-IT"/>
        </w:rPr>
        <w:drawing>
          <wp:inline distT="0" distB="0" distL="0" distR="0" wp14:anchorId="792B6056" wp14:editId="4B1972E7">
            <wp:extent cx="4320000" cy="3651443"/>
            <wp:effectExtent l="0" t="0" r="4445" b="635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20000" cy="3651443"/>
                    </a:xfrm>
                    <a:prstGeom prst="rect">
                      <a:avLst/>
                    </a:prstGeom>
                    <a:noFill/>
                  </pic:spPr>
                </pic:pic>
              </a:graphicData>
            </a:graphic>
          </wp:inline>
        </w:drawing>
      </w:r>
    </w:p>
    <w:p w14:paraId="709BA878" w14:textId="77777777" w:rsidR="00CA78D1" w:rsidRDefault="00CA78D1" w:rsidP="009252ED">
      <w:pPr>
        <w:spacing w:after="120"/>
        <w:jc w:val="center"/>
        <w:rPr>
          <w:rFonts w:cstheme="minorHAnsi"/>
          <w:b/>
          <w:color w:val="00457D"/>
          <w:sz w:val="20"/>
        </w:rPr>
      </w:pPr>
    </w:p>
    <w:p w14:paraId="6A1FFFD3" w14:textId="4875F743" w:rsidR="00057A5B" w:rsidRPr="00057A5B" w:rsidRDefault="00057A5B" w:rsidP="009252ED">
      <w:pPr>
        <w:spacing w:after="120"/>
        <w:jc w:val="center"/>
        <w:rPr>
          <w:rFonts w:cstheme="minorHAnsi"/>
          <w:b/>
          <w:color w:val="00457D"/>
          <w:sz w:val="20"/>
        </w:rPr>
      </w:pPr>
      <w:r w:rsidRPr="0024739E">
        <w:rPr>
          <w:rFonts w:cstheme="minorHAnsi"/>
          <w:b/>
          <w:color w:val="00457D"/>
          <w:sz w:val="20"/>
        </w:rPr>
        <w:t xml:space="preserve">Figura </w:t>
      </w:r>
      <w:r w:rsidR="00483C4E">
        <w:rPr>
          <w:rFonts w:cstheme="minorHAnsi"/>
          <w:b/>
          <w:color w:val="00457D"/>
          <w:sz w:val="20"/>
        </w:rPr>
        <w:t>5</w:t>
      </w:r>
      <w:r w:rsidRPr="0024739E">
        <w:rPr>
          <w:rFonts w:cstheme="minorHAnsi"/>
          <w:b/>
          <w:color w:val="00457D"/>
          <w:sz w:val="20"/>
        </w:rPr>
        <w:t>. Numero di borse di studio</w:t>
      </w:r>
      <w:r>
        <w:rPr>
          <w:rFonts w:cstheme="minorHAnsi"/>
          <w:b/>
          <w:color w:val="00457D"/>
          <w:sz w:val="20"/>
        </w:rPr>
        <w:t xml:space="preserve"> </w:t>
      </w:r>
      <w:r w:rsidRPr="0024739E">
        <w:rPr>
          <w:rFonts w:cstheme="minorHAnsi"/>
          <w:b/>
          <w:color w:val="00457D"/>
          <w:sz w:val="20"/>
        </w:rPr>
        <w:t xml:space="preserve">per il Corso di </w:t>
      </w:r>
      <w:r>
        <w:rPr>
          <w:rFonts w:cstheme="minorHAnsi"/>
          <w:b/>
          <w:color w:val="00457D"/>
          <w:sz w:val="20"/>
        </w:rPr>
        <w:t>F</w:t>
      </w:r>
      <w:r w:rsidRPr="0024739E">
        <w:rPr>
          <w:rFonts w:cstheme="minorHAnsi"/>
          <w:b/>
          <w:color w:val="00457D"/>
          <w:sz w:val="20"/>
        </w:rPr>
        <w:t xml:space="preserve">ormazione </w:t>
      </w:r>
      <w:r>
        <w:rPr>
          <w:rFonts w:cstheme="minorHAnsi"/>
          <w:b/>
          <w:color w:val="00457D"/>
          <w:sz w:val="20"/>
        </w:rPr>
        <w:t>S</w:t>
      </w:r>
      <w:r w:rsidRPr="0024739E">
        <w:rPr>
          <w:rFonts w:cstheme="minorHAnsi"/>
          <w:b/>
          <w:color w:val="00457D"/>
          <w:sz w:val="20"/>
        </w:rPr>
        <w:t>pecifica in Medicina Generale</w:t>
      </w:r>
    </w:p>
    <w:p w14:paraId="5EB83B34" w14:textId="6C98E772" w:rsidR="000B1376" w:rsidRDefault="008A75DE" w:rsidP="00786BC4">
      <w:pPr>
        <w:spacing w:after="0"/>
        <w:jc w:val="center"/>
        <w:rPr>
          <w:rFonts w:cstheme="minorHAnsi"/>
          <w:color w:val="00457D"/>
        </w:rPr>
      </w:pPr>
      <w:r>
        <w:rPr>
          <w:rFonts w:cstheme="minorHAnsi"/>
          <w:noProof/>
          <w:color w:val="00457D"/>
          <w:lang w:eastAsia="it-IT"/>
        </w:rPr>
        <w:drawing>
          <wp:inline distT="0" distB="0" distL="0" distR="0" wp14:anchorId="25BEB336" wp14:editId="3F58AACA">
            <wp:extent cx="4320000" cy="2488795"/>
            <wp:effectExtent l="0" t="0" r="4445" b="698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20000" cy="2488795"/>
                    </a:xfrm>
                    <a:prstGeom prst="rect">
                      <a:avLst/>
                    </a:prstGeom>
                    <a:noFill/>
                  </pic:spPr>
                </pic:pic>
              </a:graphicData>
            </a:graphic>
          </wp:inline>
        </w:drawing>
      </w:r>
    </w:p>
    <w:p w14:paraId="6CE2CD52" w14:textId="77777777" w:rsidR="00CA78D1" w:rsidRDefault="00CA78D1" w:rsidP="00786BC4">
      <w:pPr>
        <w:spacing w:after="0"/>
        <w:jc w:val="center"/>
        <w:rPr>
          <w:rFonts w:cstheme="minorHAnsi"/>
          <w:color w:val="00457D"/>
        </w:rPr>
      </w:pPr>
    </w:p>
    <w:p w14:paraId="5CBC091A" w14:textId="3B32FCE0" w:rsidR="009E2840" w:rsidRDefault="009E2840">
      <w:pPr>
        <w:rPr>
          <w:rFonts w:cstheme="minorHAnsi"/>
          <w:b/>
          <w:color w:val="00457D"/>
          <w:sz w:val="20"/>
        </w:rPr>
      </w:pPr>
    </w:p>
    <w:p w14:paraId="4B91F127" w14:textId="15109365" w:rsidR="00057A5B" w:rsidRDefault="00057A5B" w:rsidP="009252ED">
      <w:pPr>
        <w:spacing w:after="120"/>
        <w:jc w:val="center"/>
        <w:rPr>
          <w:rFonts w:cstheme="minorHAnsi"/>
          <w:b/>
          <w:color w:val="00457D"/>
          <w:sz w:val="20"/>
        </w:rPr>
      </w:pPr>
      <w:r w:rsidRPr="00077C0A">
        <w:rPr>
          <w:rFonts w:cstheme="minorHAnsi"/>
          <w:b/>
          <w:color w:val="00457D"/>
          <w:sz w:val="20"/>
        </w:rPr>
        <w:t>Figura</w:t>
      </w:r>
      <w:r>
        <w:rPr>
          <w:rFonts w:cstheme="minorHAnsi"/>
          <w:b/>
          <w:color w:val="00457D"/>
          <w:sz w:val="20"/>
        </w:rPr>
        <w:t xml:space="preserve"> </w:t>
      </w:r>
      <w:r w:rsidR="00483C4E">
        <w:rPr>
          <w:rFonts w:cstheme="minorHAnsi"/>
          <w:b/>
          <w:color w:val="00457D"/>
          <w:sz w:val="20"/>
        </w:rPr>
        <w:t>6</w:t>
      </w:r>
      <w:r w:rsidRPr="00077C0A">
        <w:rPr>
          <w:rFonts w:cstheme="minorHAnsi"/>
          <w:b/>
          <w:color w:val="00457D"/>
          <w:sz w:val="20"/>
        </w:rPr>
        <w:t xml:space="preserve">. </w:t>
      </w:r>
      <w:r>
        <w:rPr>
          <w:rFonts w:cstheme="minorHAnsi"/>
          <w:b/>
          <w:color w:val="00457D"/>
          <w:sz w:val="20"/>
        </w:rPr>
        <w:t xml:space="preserve">Riduzione </w:t>
      </w:r>
      <w:r w:rsidR="0079678B">
        <w:rPr>
          <w:rFonts w:cstheme="minorHAnsi"/>
          <w:b/>
          <w:color w:val="00457D"/>
          <w:sz w:val="20"/>
        </w:rPr>
        <w:t>percentuale</w:t>
      </w:r>
      <w:r>
        <w:rPr>
          <w:rFonts w:cstheme="minorHAnsi"/>
          <w:b/>
          <w:color w:val="00457D"/>
          <w:sz w:val="20"/>
        </w:rPr>
        <w:t xml:space="preserve"> del numero di MMG nel 2022 rispetto al 2019</w:t>
      </w:r>
    </w:p>
    <w:p w14:paraId="269E3737" w14:textId="7D1131AA" w:rsidR="009E2840" w:rsidRDefault="00E97BF6" w:rsidP="009252ED">
      <w:pPr>
        <w:spacing w:after="120"/>
        <w:jc w:val="center"/>
        <w:rPr>
          <w:rFonts w:cstheme="minorHAnsi"/>
          <w:b/>
          <w:color w:val="00457D"/>
          <w:sz w:val="20"/>
        </w:rPr>
      </w:pPr>
      <w:r>
        <w:rPr>
          <w:rFonts w:cstheme="minorHAnsi"/>
          <w:b/>
          <w:noProof/>
          <w:color w:val="00457D"/>
          <w:sz w:val="20"/>
          <w:lang w:eastAsia="it-IT"/>
        </w:rPr>
        <w:drawing>
          <wp:inline distT="0" distB="0" distL="0" distR="0" wp14:anchorId="44505D97" wp14:editId="617A4F2E">
            <wp:extent cx="4320000" cy="3929050"/>
            <wp:effectExtent l="0" t="0" r="444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20000" cy="3929050"/>
                    </a:xfrm>
                    <a:prstGeom prst="rect">
                      <a:avLst/>
                    </a:prstGeom>
                    <a:noFill/>
                  </pic:spPr>
                </pic:pic>
              </a:graphicData>
            </a:graphic>
          </wp:inline>
        </w:drawing>
      </w:r>
    </w:p>
    <w:p w14:paraId="6683D99C" w14:textId="77777777" w:rsidR="00FB0D31" w:rsidRDefault="00FB0D31" w:rsidP="00FB0D31">
      <w:pPr>
        <w:spacing w:after="120"/>
        <w:jc w:val="center"/>
        <w:rPr>
          <w:rFonts w:cstheme="minorHAnsi"/>
          <w:b/>
          <w:color w:val="00457D"/>
          <w:sz w:val="20"/>
          <w:szCs w:val="20"/>
        </w:rPr>
      </w:pPr>
    </w:p>
    <w:p w14:paraId="02BC8116" w14:textId="77777777" w:rsidR="00F009A2" w:rsidRDefault="00F009A2" w:rsidP="00FB0D31">
      <w:pPr>
        <w:spacing w:after="120"/>
        <w:jc w:val="center"/>
        <w:rPr>
          <w:rFonts w:cstheme="minorHAnsi"/>
          <w:b/>
          <w:color w:val="00457D"/>
          <w:sz w:val="20"/>
          <w:szCs w:val="20"/>
        </w:rPr>
      </w:pPr>
    </w:p>
    <w:p w14:paraId="604036AE" w14:textId="77777777" w:rsidR="00F009A2" w:rsidRDefault="00F009A2" w:rsidP="00FB0D31">
      <w:pPr>
        <w:spacing w:after="120"/>
        <w:jc w:val="center"/>
        <w:rPr>
          <w:rFonts w:cstheme="minorHAnsi"/>
          <w:b/>
          <w:color w:val="00457D"/>
          <w:sz w:val="20"/>
          <w:szCs w:val="20"/>
        </w:rPr>
      </w:pPr>
    </w:p>
    <w:p w14:paraId="0630064D" w14:textId="77777777" w:rsidR="00F009A2" w:rsidRDefault="00F009A2" w:rsidP="00FB0D31">
      <w:pPr>
        <w:spacing w:after="120"/>
        <w:jc w:val="center"/>
        <w:rPr>
          <w:rFonts w:cstheme="minorHAnsi"/>
          <w:b/>
          <w:color w:val="00457D"/>
          <w:sz w:val="20"/>
          <w:szCs w:val="20"/>
        </w:rPr>
      </w:pPr>
    </w:p>
    <w:p w14:paraId="5511987A" w14:textId="77777777" w:rsidR="00F009A2" w:rsidRDefault="00F009A2" w:rsidP="00FB0D31">
      <w:pPr>
        <w:spacing w:after="120"/>
        <w:jc w:val="center"/>
        <w:rPr>
          <w:rFonts w:cstheme="minorHAnsi"/>
          <w:b/>
          <w:color w:val="00457D"/>
          <w:sz w:val="20"/>
          <w:szCs w:val="20"/>
        </w:rPr>
      </w:pPr>
    </w:p>
    <w:p w14:paraId="4459E9DC" w14:textId="77777777" w:rsidR="00F009A2" w:rsidRDefault="00F009A2" w:rsidP="00FB0D31">
      <w:pPr>
        <w:spacing w:after="120"/>
        <w:jc w:val="center"/>
        <w:rPr>
          <w:rFonts w:cstheme="minorHAnsi"/>
          <w:b/>
          <w:color w:val="00457D"/>
          <w:sz w:val="20"/>
          <w:szCs w:val="20"/>
        </w:rPr>
      </w:pPr>
    </w:p>
    <w:p w14:paraId="622B78FC" w14:textId="1F13596A" w:rsidR="009252ED" w:rsidRDefault="00FB0D31" w:rsidP="00FB0D31">
      <w:pPr>
        <w:spacing w:after="120"/>
        <w:jc w:val="center"/>
        <w:rPr>
          <w:rFonts w:cstheme="minorHAnsi"/>
          <w:b/>
          <w:color w:val="00457D"/>
          <w:sz w:val="20"/>
          <w:szCs w:val="20"/>
        </w:rPr>
      </w:pPr>
      <w:r w:rsidRPr="00057A5B">
        <w:rPr>
          <w:rFonts w:cstheme="minorHAnsi"/>
          <w:b/>
          <w:color w:val="00457D"/>
          <w:sz w:val="20"/>
          <w:szCs w:val="20"/>
        </w:rPr>
        <w:t>Figura 7. Numero medio di assistiti per MMG al 1° gennaio 2023</w:t>
      </w:r>
    </w:p>
    <w:p w14:paraId="5969ED4B" w14:textId="106EAF40" w:rsidR="005902A2" w:rsidRDefault="00CC05D9" w:rsidP="00786BC4">
      <w:pPr>
        <w:spacing w:after="0"/>
        <w:jc w:val="center"/>
        <w:rPr>
          <w:rFonts w:cstheme="minorHAnsi"/>
          <w:b/>
          <w:color w:val="00457D"/>
        </w:rPr>
      </w:pPr>
      <w:r>
        <w:rPr>
          <w:rFonts w:cstheme="minorHAnsi"/>
          <w:b/>
          <w:noProof/>
          <w:color w:val="00457D"/>
          <w:lang w:eastAsia="it-IT"/>
        </w:rPr>
        <w:drawing>
          <wp:inline distT="0" distB="0" distL="0" distR="0" wp14:anchorId="2446BB94" wp14:editId="7A20E70A">
            <wp:extent cx="4320000" cy="3647439"/>
            <wp:effectExtent l="0" t="0" r="4445"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20000" cy="3647439"/>
                    </a:xfrm>
                    <a:prstGeom prst="rect">
                      <a:avLst/>
                    </a:prstGeom>
                    <a:noFill/>
                  </pic:spPr>
                </pic:pic>
              </a:graphicData>
            </a:graphic>
          </wp:inline>
        </w:drawing>
      </w:r>
    </w:p>
    <w:p w14:paraId="0145D736" w14:textId="6F5DE57E" w:rsidR="00057A5B" w:rsidRDefault="00057A5B" w:rsidP="00786BC4">
      <w:pPr>
        <w:spacing w:after="0"/>
        <w:jc w:val="center"/>
        <w:rPr>
          <w:rFonts w:cstheme="minorHAnsi"/>
          <w:b/>
          <w:color w:val="00457D"/>
        </w:rPr>
      </w:pPr>
    </w:p>
    <w:p w14:paraId="798E00D5" w14:textId="77777777" w:rsidR="00FB0D31" w:rsidRDefault="00FB0D31" w:rsidP="009252ED">
      <w:pPr>
        <w:spacing w:after="120"/>
        <w:jc w:val="center"/>
        <w:rPr>
          <w:rFonts w:cstheme="minorHAnsi"/>
          <w:b/>
          <w:color w:val="00457D"/>
          <w:sz w:val="20"/>
          <w:szCs w:val="20"/>
        </w:rPr>
      </w:pPr>
    </w:p>
    <w:p w14:paraId="6D27B59D" w14:textId="77777777" w:rsidR="00FB0D31" w:rsidRDefault="00FB0D31" w:rsidP="009252ED">
      <w:pPr>
        <w:spacing w:after="120"/>
        <w:jc w:val="center"/>
        <w:rPr>
          <w:rFonts w:cstheme="minorHAnsi"/>
          <w:b/>
          <w:color w:val="00457D"/>
          <w:sz w:val="20"/>
          <w:szCs w:val="20"/>
        </w:rPr>
      </w:pPr>
    </w:p>
    <w:p w14:paraId="2B6C29AD" w14:textId="57C2F46C" w:rsidR="00057A5B" w:rsidRPr="00057A5B" w:rsidRDefault="00057A5B" w:rsidP="009252ED">
      <w:pPr>
        <w:spacing w:after="120"/>
        <w:jc w:val="center"/>
        <w:rPr>
          <w:rFonts w:cstheme="minorHAnsi"/>
          <w:b/>
          <w:color w:val="00457D"/>
          <w:sz w:val="20"/>
          <w:szCs w:val="20"/>
        </w:rPr>
      </w:pPr>
      <w:r w:rsidRPr="00057A5B">
        <w:rPr>
          <w:rFonts w:cstheme="minorHAnsi"/>
          <w:b/>
          <w:color w:val="00457D"/>
          <w:sz w:val="20"/>
          <w:szCs w:val="20"/>
        </w:rPr>
        <w:t>Figura 8. Stima GIMBE del numero di MMG mancanti al 1° gennaio 2023</w:t>
      </w:r>
    </w:p>
    <w:p w14:paraId="4466AABF" w14:textId="7C565BD9" w:rsidR="005902A2" w:rsidRDefault="00F71D6C" w:rsidP="00786BC4">
      <w:pPr>
        <w:spacing w:after="0"/>
        <w:jc w:val="center"/>
        <w:rPr>
          <w:rFonts w:cstheme="minorHAnsi"/>
          <w:b/>
          <w:color w:val="00457D"/>
        </w:rPr>
      </w:pPr>
      <w:r>
        <w:rPr>
          <w:noProof/>
          <w:lang w:eastAsia="it-IT"/>
        </w:rPr>
        <w:drawing>
          <wp:inline distT="0" distB="0" distL="0" distR="0" wp14:anchorId="180E9D1A" wp14:editId="03ADBF4C">
            <wp:extent cx="4320000" cy="3490108"/>
            <wp:effectExtent l="0" t="0" r="444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20000" cy="3490108"/>
                    </a:xfrm>
                    <a:prstGeom prst="rect">
                      <a:avLst/>
                    </a:prstGeom>
                    <a:noFill/>
                  </pic:spPr>
                </pic:pic>
              </a:graphicData>
            </a:graphic>
          </wp:inline>
        </w:drawing>
      </w:r>
    </w:p>
    <w:p w14:paraId="37D59267" w14:textId="276F34D5" w:rsidR="009252ED" w:rsidRDefault="009252ED">
      <w:pPr>
        <w:rPr>
          <w:rFonts w:cstheme="minorHAnsi"/>
          <w:b/>
          <w:color w:val="00457D"/>
          <w:sz w:val="20"/>
          <w:szCs w:val="20"/>
        </w:rPr>
      </w:pPr>
    </w:p>
    <w:p w14:paraId="54553966" w14:textId="77777777" w:rsidR="00955C33" w:rsidRDefault="00955C33" w:rsidP="009252ED">
      <w:pPr>
        <w:spacing w:after="120"/>
        <w:jc w:val="center"/>
        <w:rPr>
          <w:rFonts w:cstheme="minorHAnsi"/>
          <w:b/>
          <w:color w:val="00457D"/>
          <w:sz w:val="20"/>
          <w:szCs w:val="20"/>
        </w:rPr>
      </w:pPr>
    </w:p>
    <w:p w14:paraId="7CAEC301" w14:textId="77777777" w:rsidR="00CA78D1" w:rsidRDefault="00CA78D1" w:rsidP="009252ED">
      <w:pPr>
        <w:spacing w:after="120"/>
        <w:jc w:val="center"/>
        <w:rPr>
          <w:rFonts w:cstheme="minorHAnsi"/>
          <w:b/>
          <w:color w:val="00457D"/>
          <w:sz w:val="20"/>
          <w:szCs w:val="20"/>
        </w:rPr>
      </w:pPr>
    </w:p>
    <w:p w14:paraId="7FDA756A" w14:textId="3A5F7F98" w:rsidR="00057A5B" w:rsidRPr="00057A5B" w:rsidRDefault="00057A5B" w:rsidP="009252ED">
      <w:pPr>
        <w:spacing w:after="120"/>
        <w:jc w:val="center"/>
        <w:rPr>
          <w:rFonts w:cstheme="minorHAnsi"/>
          <w:b/>
          <w:color w:val="00457D"/>
          <w:sz w:val="20"/>
          <w:szCs w:val="20"/>
        </w:rPr>
      </w:pPr>
      <w:r w:rsidRPr="00057A5B">
        <w:rPr>
          <w:rFonts w:cstheme="minorHAnsi"/>
          <w:b/>
          <w:color w:val="00457D"/>
          <w:sz w:val="20"/>
          <w:szCs w:val="20"/>
        </w:rPr>
        <w:t xml:space="preserve">Figura 9. Stima </w:t>
      </w:r>
      <w:r w:rsidR="008243AC">
        <w:rPr>
          <w:rFonts w:cstheme="minorHAnsi"/>
          <w:b/>
          <w:color w:val="00457D"/>
          <w:sz w:val="20"/>
          <w:szCs w:val="20"/>
        </w:rPr>
        <w:t xml:space="preserve">della </w:t>
      </w:r>
      <w:r w:rsidRPr="00057A5B">
        <w:rPr>
          <w:rFonts w:cstheme="minorHAnsi"/>
          <w:b/>
          <w:color w:val="00457D"/>
          <w:sz w:val="20"/>
          <w:szCs w:val="20"/>
        </w:rPr>
        <w:t>riduzione</w:t>
      </w:r>
      <w:r w:rsidR="008243AC">
        <w:rPr>
          <w:rFonts w:cstheme="minorHAnsi"/>
          <w:b/>
          <w:color w:val="00457D"/>
          <w:sz w:val="20"/>
          <w:szCs w:val="20"/>
        </w:rPr>
        <w:t xml:space="preserve"> del</w:t>
      </w:r>
      <w:r w:rsidRPr="00057A5B">
        <w:rPr>
          <w:rFonts w:cstheme="minorHAnsi"/>
          <w:b/>
          <w:color w:val="00457D"/>
          <w:sz w:val="20"/>
          <w:szCs w:val="20"/>
        </w:rPr>
        <w:t xml:space="preserve"> numero </w:t>
      </w:r>
      <w:r w:rsidR="008243AC">
        <w:rPr>
          <w:rFonts w:cstheme="minorHAnsi"/>
          <w:b/>
          <w:color w:val="00457D"/>
          <w:sz w:val="20"/>
          <w:szCs w:val="20"/>
        </w:rPr>
        <w:t xml:space="preserve">di </w:t>
      </w:r>
      <w:r w:rsidRPr="00057A5B">
        <w:rPr>
          <w:rFonts w:cstheme="minorHAnsi"/>
          <w:b/>
          <w:color w:val="00457D"/>
          <w:sz w:val="20"/>
          <w:szCs w:val="20"/>
        </w:rPr>
        <w:t xml:space="preserve">MMG nel 2026 vs 2022 </w:t>
      </w:r>
    </w:p>
    <w:p w14:paraId="33543230" w14:textId="6487E3E1" w:rsidR="005902A2" w:rsidRPr="00077C0A" w:rsidRDefault="007B4CB6" w:rsidP="00955C33">
      <w:pPr>
        <w:spacing w:after="0"/>
        <w:jc w:val="center"/>
        <w:rPr>
          <w:rFonts w:cstheme="minorHAnsi"/>
          <w:b/>
          <w:color w:val="00457D"/>
        </w:rPr>
      </w:pPr>
      <w:r>
        <w:rPr>
          <w:rFonts w:cstheme="minorHAnsi"/>
          <w:b/>
          <w:noProof/>
          <w:color w:val="00457D"/>
          <w:lang w:eastAsia="it-IT"/>
        </w:rPr>
        <w:drawing>
          <wp:inline distT="0" distB="0" distL="0" distR="0" wp14:anchorId="42F24BB7" wp14:editId="49138C3B">
            <wp:extent cx="4320000" cy="3486877"/>
            <wp:effectExtent l="0" t="0" r="4445"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320000" cy="3486877"/>
                    </a:xfrm>
                    <a:prstGeom prst="rect">
                      <a:avLst/>
                    </a:prstGeom>
                    <a:noFill/>
                  </pic:spPr>
                </pic:pic>
              </a:graphicData>
            </a:graphic>
          </wp:inline>
        </w:drawing>
      </w:r>
    </w:p>
    <w:sectPr w:rsidR="005902A2" w:rsidRPr="00077C0A" w:rsidSect="00CA78D1">
      <w:pgSz w:w="11906" w:h="16838"/>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FA691" w14:textId="77777777" w:rsidR="00A326F0" w:rsidRDefault="00A326F0" w:rsidP="00ED0CFD">
      <w:pPr>
        <w:spacing w:after="0" w:line="240" w:lineRule="auto"/>
      </w:pPr>
      <w:r>
        <w:separator/>
      </w:r>
    </w:p>
  </w:endnote>
  <w:endnote w:type="continuationSeparator" w:id="0">
    <w:p w14:paraId="3A29E258" w14:textId="77777777" w:rsidR="00A326F0" w:rsidRDefault="00A326F0" w:rsidP="00ED0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2FCD4" w14:textId="77777777" w:rsidR="00A326F0" w:rsidRDefault="00A326F0" w:rsidP="00ED0CFD">
      <w:pPr>
        <w:spacing w:after="0" w:line="240" w:lineRule="auto"/>
      </w:pPr>
      <w:r>
        <w:separator/>
      </w:r>
    </w:p>
  </w:footnote>
  <w:footnote w:type="continuationSeparator" w:id="0">
    <w:p w14:paraId="015DEC5D" w14:textId="77777777" w:rsidR="00A326F0" w:rsidRDefault="00A326F0" w:rsidP="00ED0C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B3606"/>
    <w:multiLevelType w:val="hybridMultilevel"/>
    <w:tmpl w:val="6AF47F8C"/>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8A073A8"/>
    <w:multiLevelType w:val="hybridMultilevel"/>
    <w:tmpl w:val="72908F4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3B0603F"/>
    <w:multiLevelType w:val="hybridMultilevel"/>
    <w:tmpl w:val="518CF2A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78259EF"/>
    <w:multiLevelType w:val="hybridMultilevel"/>
    <w:tmpl w:val="D61ED18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BD829D7"/>
    <w:multiLevelType w:val="hybridMultilevel"/>
    <w:tmpl w:val="8C3C602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385C53A8"/>
    <w:multiLevelType w:val="hybridMultilevel"/>
    <w:tmpl w:val="5B9269F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3F5028A0"/>
    <w:multiLevelType w:val="hybridMultilevel"/>
    <w:tmpl w:val="C9FEBD5A"/>
    <w:lvl w:ilvl="0" w:tplc="A914E83C">
      <w:start w:val="1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2628E5"/>
    <w:multiLevelType w:val="hybridMultilevel"/>
    <w:tmpl w:val="2ABA6530"/>
    <w:lvl w:ilvl="0" w:tplc="FC6C4C0E">
      <w:start w:val="28"/>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DE916EA"/>
    <w:multiLevelType w:val="hybridMultilevel"/>
    <w:tmpl w:val="A164288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FF1232A"/>
    <w:multiLevelType w:val="multilevel"/>
    <w:tmpl w:val="5AA4C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BA321A"/>
    <w:multiLevelType w:val="hybridMultilevel"/>
    <w:tmpl w:val="5B180C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3164247"/>
    <w:multiLevelType w:val="hybridMultilevel"/>
    <w:tmpl w:val="A0A2ED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75229DE"/>
    <w:multiLevelType w:val="hybridMultilevel"/>
    <w:tmpl w:val="E90039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8CB37EA"/>
    <w:multiLevelType w:val="hybridMultilevel"/>
    <w:tmpl w:val="BB8C94C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5FBD3153"/>
    <w:multiLevelType w:val="hybridMultilevel"/>
    <w:tmpl w:val="FE48C68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606E2BA6"/>
    <w:multiLevelType w:val="hybridMultilevel"/>
    <w:tmpl w:val="9B20C57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620C3AF4"/>
    <w:multiLevelType w:val="hybridMultilevel"/>
    <w:tmpl w:val="E8D49A7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6DB46163"/>
    <w:multiLevelType w:val="hybridMultilevel"/>
    <w:tmpl w:val="B51EB52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6FA854BC"/>
    <w:multiLevelType w:val="multilevel"/>
    <w:tmpl w:val="E098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C63460"/>
    <w:multiLevelType w:val="hybridMultilevel"/>
    <w:tmpl w:val="1152D80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75591BA8"/>
    <w:multiLevelType w:val="hybridMultilevel"/>
    <w:tmpl w:val="BFA0DF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B2879B0"/>
    <w:multiLevelType w:val="hybridMultilevel"/>
    <w:tmpl w:val="41CA392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num w:numId="1">
    <w:abstractNumId w:val="21"/>
  </w:num>
  <w:num w:numId="2">
    <w:abstractNumId w:val="17"/>
  </w:num>
  <w:num w:numId="3">
    <w:abstractNumId w:val="7"/>
  </w:num>
  <w:num w:numId="4">
    <w:abstractNumId w:val="18"/>
  </w:num>
  <w:num w:numId="5">
    <w:abstractNumId w:val="9"/>
  </w:num>
  <w:num w:numId="6">
    <w:abstractNumId w:val="6"/>
  </w:num>
  <w:num w:numId="7">
    <w:abstractNumId w:val="16"/>
  </w:num>
  <w:num w:numId="8">
    <w:abstractNumId w:val="15"/>
  </w:num>
  <w:num w:numId="9">
    <w:abstractNumId w:val="0"/>
  </w:num>
  <w:num w:numId="10">
    <w:abstractNumId w:val="1"/>
  </w:num>
  <w:num w:numId="11">
    <w:abstractNumId w:val="3"/>
  </w:num>
  <w:num w:numId="12">
    <w:abstractNumId w:val="4"/>
  </w:num>
  <w:num w:numId="13">
    <w:abstractNumId w:val="12"/>
  </w:num>
  <w:num w:numId="14">
    <w:abstractNumId w:val="2"/>
  </w:num>
  <w:num w:numId="15">
    <w:abstractNumId w:val="11"/>
  </w:num>
  <w:num w:numId="16">
    <w:abstractNumId w:val="20"/>
  </w:num>
  <w:num w:numId="17">
    <w:abstractNumId w:val="5"/>
  </w:num>
  <w:num w:numId="18">
    <w:abstractNumId w:val="8"/>
  </w:num>
  <w:num w:numId="19">
    <w:abstractNumId w:val="13"/>
  </w:num>
  <w:num w:numId="20">
    <w:abstractNumId w:val="19"/>
  </w:num>
  <w:num w:numId="21">
    <w:abstractNumId w:val="1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B91"/>
    <w:rsid w:val="000007FC"/>
    <w:rsid w:val="00001559"/>
    <w:rsid w:val="00002C1B"/>
    <w:rsid w:val="0000349A"/>
    <w:rsid w:val="00003551"/>
    <w:rsid w:val="00003744"/>
    <w:rsid w:val="00003F78"/>
    <w:rsid w:val="00004B0A"/>
    <w:rsid w:val="00005B25"/>
    <w:rsid w:val="00006555"/>
    <w:rsid w:val="00010498"/>
    <w:rsid w:val="0001214A"/>
    <w:rsid w:val="0001285B"/>
    <w:rsid w:val="0001384A"/>
    <w:rsid w:val="00013DFA"/>
    <w:rsid w:val="0001439D"/>
    <w:rsid w:val="0001443F"/>
    <w:rsid w:val="00014FDE"/>
    <w:rsid w:val="00015D8E"/>
    <w:rsid w:val="00017021"/>
    <w:rsid w:val="00017968"/>
    <w:rsid w:val="00017FB4"/>
    <w:rsid w:val="00020B81"/>
    <w:rsid w:val="00021918"/>
    <w:rsid w:val="00021B36"/>
    <w:rsid w:val="00021D7F"/>
    <w:rsid w:val="00023462"/>
    <w:rsid w:val="00023D8A"/>
    <w:rsid w:val="000242B9"/>
    <w:rsid w:val="00025E28"/>
    <w:rsid w:val="00027064"/>
    <w:rsid w:val="000314E4"/>
    <w:rsid w:val="0003388E"/>
    <w:rsid w:val="000351F9"/>
    <w:rsid w:val="00035404"/>
    <w:rsid w:val="00035633"/>
    <w:rsid w:val="000404E3"/>
    <w:rsid w:val="000409A3"/>
    <w:rsid w:val="000410F5"/>
    <w:rsid w:val="00043C6D"/>
    <w:rsid w:val="0004410A"/>
    <w:rsid w:val="00051F7A"/>
    <w:rsid w:val="0005402C"/>
    <w:rsid w:val="00054250"/>
    <w:rsid w:val="00055180"/>
    <w:rsid w:val="00055AE9"/>
    <w:rsid w:val="00055D27"/>
    <w:rsid w:val="000576BA"/>
    <w:rsid w:val="00057A5B"/>
    <w:rsid w:val="00057D1B"/>
    <w:rsid w:val="000602AA"/>
    <w:rsid w:val="00062A67"/>
    <w:rsid w:val="00062CF6"/>
    <w:rsid w:val="0006440E"/>
    <w:rsid w:val="000657A8"/>
    <w:rsid w:val="000662E3"/>
    <w:rsid w:val="00067B8F"/>
    <w:rsid w:val="000707B3"/>
    <w:rsid w:val="000715A9"/>
    <w:rsid w:val="000719E8"/>
    <w:rsid w:val="00071F0A"/>
    <w:rsid w:val="00073870"/>
    <w:rsid w:val="00074788"/>
    <w:rsid w:val="000771A4"/>
    <w:rsid w:val="00077C0A"/>
    <w:rsid w:val="00082839"/>
    <w:rsid w:val="00082EDA"/>
    <w:rsid w:val="000832BB"/>
    <w:rsid w:val="00086372"/>
    <w:rsid w:val="00090210"/>
    <w:rsid w:val="000905D1"/>
    <w:rsid w:val="00090A39"/>
    <w:rsid w:val="00090B7E"/>
    <w:rsid w:val="000927C7"/>
    <w:rsid w:val="000935F1"/>
    <w:rsid w:val="00093A2E"/>
    <w:rsid w:val="00095DE9"/>
    <w:rsid w:val="00097875"/>
    <w:rsid w:val="000A05CF"/>
    <w:rsid w:val="000A0FC3"/>
    <w:rsid w:val="000A1367"/>
    <w:rsid w:val="000A2084"/>
    <w:rsid w:val="000A459B"/>
    <w:rsid w:val="000A62A9"/>
    <w:rsid w:val="000A7B66"/>
    <w:rsid w:val="000B07B0"/>
    <w:rsid w:val="000B1376"/>
    <w:rsid w:val="000B185F"/>
    <w:rsid w:val="000B1C52"/>
    <w:rsid w:val="000B3D51"/>
    <w:rsid w:val="000B7985"/>
    <w:rsid w:val="000C0980"/>
    <w:rsid w:val="000C182F"/>
    <w:rsid w:val="000C344B"/>
    <w:rsid w:val="000C544C"/>
    <w:rsid w:val="000C6130"/>
    <w:rsid w:val="000C6295"/>
    <w:rsid w:val="000D02E4"/>
    <w:rsid w:val="000D0F16"/>
    <w:rsid w:val="000D17FB"/>
    <w:rsid w:val="000D25AC"/>
    <w:rsid w:val="000D3AA7"/>
    <w:rsid w:val="000D3AE1"/>
    <w:rsid w:val="000D3F7D"/>
    <w:rsid w:val="000D44D4"/>
    <w:rsid w:val="000D5771"/>
    <w:rsid w:val="000D5893"/>
    <w:rsid w:val="000D7252"/>
    <w:rsid w:val="000E2E3E"/>
    <w:rsid w:val="000E2E4F"/>
    <w:rsid w:val="000E2EB0"/>
    <w:rsid w:val="000E37AA"/>
    <w:rsid w:val="000E7CC2"/>
    <w:rsid w:val="000F09CF"/>
    <w:rsid w:val="000F0BBD"/>
    <w:rsid w:val="000F10F8"/>
    <w:rsid w:val="000F39EF"/>
    <w:rsid w:val="000F47DD"/>
    <w:rsid w:val="000F5C0F"/>
    <w:rsid w:val="000F7867"/>
    <w:rsid w:val="0010059E"/>
    <w:rsid w:val="0010106E"/>
    <w:rsid w:val="001033BE"/>
    <w:rsid w:val="0010481D"/>
    <w:rsid w:val="001065FB"/>
    <w:rsid w:val="00107096"/>
    <w:rsid w:val="00110E79"/>
    <w:rsid w:val="0011205F"/>
    <w:rsid w:val="0011270A"/>
    <w:rsid w:val="001139A6"/>
    <w:rsid w:val="00113D4A"/>
    <w:rsid w:val="00113F3C"/>
    <w:rsid w:val="001156C5"/>
    <w:rsid w:val="001167D9"/>
    <w:rsid w:val="0011693A"/>
    <w:rsid w:val="00120226"/>
    <w:rsid w:val="0012393A"/>
    <w:rsid w:val="00124DB0"/>
    <w:rsid w:val="00125C6A"/>
    <w:rsid w:val="001262A5"/>
    <w:rsid w:val="00126835"/>
    <w:rsid w:val="001317CF"/>
    <w:rsid w:val="00132928"/>
    <w:rsid w:val="00134C8C"/>
    <w:rsid w:val="001356A5"/>
    <w:rsid w:val="001404A5"/>
    <w:rsid w:val="0014097E"/>
    <w:rsid w:val="00143689"/>
    <w:rsid w:val="0014448E"/>
    <w:rsid w:val="00144F94"/>
    <w:rsid w:val="001458FE"/>
    <w:rsid w:val="00145BA6"/>
    <w:rsid w:val="00145FAF"/>
    <w:rsid w:val="001471AF"/>
    <w:rsid w:val="00150EF3"/>
    <w:rsid w:val="0015200C"/>
    <w:rsid w:val="0015229D"/>
    <w:rsid w:val="00155E32"/>
    <w:rsid w:val="00156DCB"/>
    <w:rsid w:val="00156FE7"/>
    <w:rsid w:val="001601B9"/>
    <w:rsid w:val="001608BE"/>
    <w:rsid w:val="00162FBC"/>
    <w:rsid w:val="0016375C"/>
    <w:rsid w:val="001654A5"/>
    <w:rsid w:val="00166A2F"/>
    <w:rsid w:val="001672C8"/>
    <w:rsid w:val="00170760"/>
    <w:rsid w:val="00170B46"/>
    <w:rsid w:val="00171767"/>
    <w:rsid w:val="00173764"/>
    <w:rsid w:val="0017405D"/>
    <w:rsid w:val="001748BA"/>
    <w:rsid w:val="00175A17"/>
    <w:rsid w:val="00181B9B"/>
    <w:rsid w:val="00190985"/>
    <w:rsid w:val="00191481"/>
    <w:rsid w:val="001916E9"/>
    <w:rsid w:val="00191F59"/>
    <w:rsid w:val="00192DAD"/>
    <w:rsid w:val="00192F75"/>
    <w:rsid w:val="001932CB"/>
    <w:rsid w:val="00193564"/>
    <w:rsid w:val="00193F19"/>
    <w:rsid w:val="001A1412"/>
    <w:rsid w:val="001A3CDB"/>
    <w:rsid w:val="001A3E0D"/>
    <w:rsid w:val="001A3E96"/>
    <w:rsid w:val="001A56A2"/>
    <w:rsid w:val="001A6181"/>
    <w:rsid w:val="001A6473"/>
    <w:rsid w:val="001B092E"/>
    <w:rsid w:val="001B3295"/>
    <w:rsid w:val="001B39C4"/>
    <w:rsid w:val="001B64A9"/>
    <w:rsid w:val="001B6C63"/>
    <w:rsid w:val="001B7D31"/>
    <w:rsid w:val="001C1A8A"/>
    <w:rsid w:val="001C23CE"/>
    <w:rsid w:val="001C25C3"/>
    <w:rsid w:val="001C3796"/>
    <w:rsid w:val="001C485E"/>
    <w:rsid w:val="001C4A52"/>
    <w:rsid w:val="001C51E2"/>
    <w:rsid w:val="001D0E41"/>
    <w:rsid w:val="001D153D"/>
    <w:rsid w:val="001D19F1"/>
    <w:rsid w:val="001D3500"/>
    <w:rsid w:val="001D3F14"/>
    <w:rsid w:val="001D4CE8"/>
    <w:rsid w:val="001E2183"/>
    <w:rsid w:val="001E34B7"/>
    <w:rsid w:val="001E3647"/>
    <w:rsid w:val="001E4F36"/>
    <w:rsid w:val="001E5245"/>
    <w:rsid w:val="001E6902"/>
    <w:rsid w:val="001F1C35"/>
    <w:rsid w:val="001F20B8"/>
    <w:rsid w:val="001F2826"/>
    <w:rsid w:val="001F38F6"/>
    <w:rsid w:val="001F4AA0"/>
    <w:rsid w:val="001F6454"/>
    <w:rsid w:val="002015C9"/>
    <w:rsid w:val="002020DB"/>
    <w:rsid w:val="00202A01"/>
    <w:rsid w:val="0020435A"/>
    <w:rsid w:val="00206047"/>
    <w:rsid w:val="002073BD"/>
    <w:rsid w:val="00207B90"/>
    <w:rsid w:val="00210158"/>
    <w:rsid w:val="0021155E"/>
    <w:rsid w:val="002137D4"/>
    <w:rsid w:val="00217F16"/>
    <w:rsid w:val="002206B0"/>
    <w:rsid w:val="0022095B"/>
    <w:rsid w:val="00223F01"/>
    <w:rsid w:val="00224E88"/>
    <w:rsid w:val="00226565"/>
    <w:rsid w:val="0023012E"/>
    <w:rsid w:val="00231326"/>
    <w:rsid w:val="0023132D"/>
    <w:rsid w:val="00231690"/>
    <w:rsid w:val="00233EF5"/>
    <w:rsid w:val="002349C3"/>
    <w:rsid w:val="0023771D"/>
    <w:rsid w:val="00241C9C"/>
    <w:rsid w:val="00241E9C"/>
    <w:rsid w:val="00242077"/>
    <w:rsid w:val="00244CFC"/>
    <w:rsid w:val="00245859"/>
    <w:rsid w:val="0024739E"/>
    <w:rsid w:val="00250EDB"/>
    <w:rsid w:val="0025100A"/>
    <w:rsid w:val="00251AC2"/>
    <w:rsid w:val="002551A1"/>
    <w:rsid w:val="00256137"/>
    <w:rsid w:val="00265B05"/>
    <w:rsid w:val="00266561"/>
    <w:rsid w:val="00266E0C"/>
    <w:rsid w:val="00266E1A"/>
    <w:rsid w:val="00266F7E"/>
    <w:rsid w:val="002723FC"/>
    <w:rsid w:val="002728AA"/>
    <w:rsid w:val="0027468B"/>
    <w:rsid w:val="00280AE6"/>
    <w:rsid w:val="00281FA9"/>
    <w:rsid w:val="00282655"/>
    <w:rsid w:val="00282DAE"/>
    <w:rsid w:val="002833AC"/>
    <w:rsid w:val="00287105"/>
    <w:rsid w:val="00290EC3"/>
    <w:rsid w:val="00291602"/>
    <w:rsid w:val="00292502"/>
    <w:rsid w:val="0029392F"/>
    <w:rsid w:val="002946C4"/>
    <w:rsid w:val="00295DB4"/>
    <w:rsid w:val="00297158"/>
    <w:rsid w:val="00297583"/>
    <w:rsid w:val="00297F4E"/>
    <w:rsid w:val="002A2034"/>
    <w:rsid w:val="002A3232"/>
    <w:rsid w:val="002A3D34"/>
    <w:rsid w:val="002A60A2"/>
    <w:rsid w:val="002B12E6"/>
    <w:rsid w:val="002B1329"/>
    <w:rsid w:val="002B28F5"/>
    <w:rsid w:val="002B7055"/>
    <w:rsid w:val="002B7295"/>
    <w:rsid w:val="002B7C26"/>
    <w:rsid w:val="002B7F03"/>
    <w:rsid w:val="002C0B56"/>
    <w:rsid w:val="002C0B93"/>
    <w:rsid w:val="002C0F1B"/>
    <w:rsid w:val="002C433C"/>
    <w:rsid w:val="002C5187"/>
    <w:rsid w:val="002C5307"/>
    <w:rsid w:val="002C5517"/>
    <w:rsid w:val="002D1A9D"/>
    <w:rsid w:val="002D2C39"/>
    <w:rsid w:val="002D36DF"/>
    <w:rsid w:val="002D4D2D"/>
    <w:rsid w:val="002D61E1"/>
    <w:rsid w:val="002D63B4"/>
    <w:rsid w:val="002D65ED"/>
    <w:rsid w:val="002D7409"/>
    <w:rsid w:val="002D7BE4"/>
    <w:rsid w:val="002E0AB6"/>
    <w:rsid w:val="002E1CFE"/>
    <w:rsid w:val="002E22D7"/>
    <w:rsid w:val="002E2D66"/>
    <w:rsid w:val="002E2ECD"/>
    <w:rsid w:val="002E33A2"/>
    <w:rsid w:val="002E3609"/>
    <w:rsid w:val="002E3F3A"/>
    <w:rsid w:val="002E528E"/>
    <w:rsid w:val="002E5382"/>
    <w:rsid w:val="002E5E3C"/>
    <w:rsid w:val="002E76B3"/>
    <w:rsid w:val="002F05C5"/>
    <w:rsid w:val="002F05E9"/>
    <w:rsid w:val="002F07F4"/>
    <w:rsid w:val="002F1032"/>
    <w:rsid w:val="002F20F5"/>
    <w:rsid w:val="002F25B1"/>
    <w:rsid w:val="002F2E6A"/>
    <w:rsid w:val="002F323D"/>
    <w:rsid w:val="002F55E7"/>
    <w:rsid w:val="002F605D"/>
    <w:rsid w:val="002F7F95"/>
    <w:rsid w:val="00300EF7"/>
    <w:rsid w:val="0030141E"/>
    <w:rsid w:val="003029DD"/>
    <w:rsid w:val="00305113"/>
    <w:rsid w:val="00305C88"/>
    <w:rsid w:val="00306431"/>
    <w:rsid w:val="00310511"/>
    <w:rsid w:val="00310654"/>
    <w:rsid w:val="00310E98"/>
    <w:rsid w:val="00311414"/>
    <w:rsid w:val="003132DC"/>
    <w:rsid w:val="00313AD1"/>
    <w:rsid w:val="00315407"/>
    <w:rsid w:val="00315734"/>
    <w:rsid w:val="0031648A"/>
    <w:rsid w:val="003169E7"/>
    <w:rsid w:val="0031755E"/>
    <w:rsid w:val="00317A1A"/>
    <w:rsid w:val="00321C3D"/>
    <w:rsid w:val="00323327"/>
    <w:rsid w:val="00323A55"/>
    <w:rsid w:val="00325252"/>
    <w:rsid w:val="00325E98"/>
    <w:rsid w:val="003268D1"/>
    <w:rsid w:val="00326F62"/>
    <w:rsid w:val="00327AF0"/>
    <w:rsid w:val="00331B49"/>
    <w:rsid w:val="00331F29"/>
    <w:rsid w:val="00333A1D"/>
    <w:rsid w:val="0033460B"/>
    <w:rsid w:val="00334F92"/>
    <w:rsid w:val="0033752D"/>
    <w:rsid w:val="00337C35"/>
    <w:rsid w:val="0034291E"/>
    <w:rsid w:val="00342BF4"/>
    <w:rsid w:val="00342E6D"/>
    <w:rsid w:val="003431A8"/>
    <w:rsid w:val="003456F8"/>
    <w:rsid w:val="00347675"/>
    <w:rsid w:val="00347BD4"/>
    <w:rsid w:val="00347CD5"/>
    <w:rsid w:val="00350B80"/>
    <w:rsid w:val="00351017"/>
    <w:rsid w:val="00351462"/>
    <w:rsid w:val="0035222C"/>
    <w:rsid w:val="00353E36"/>
    <w:rsid w:val="0035547A"/>
    <w:rsid w:val="003554E0"/>
    <w:rsid w:val="00355DBF"/>
    <w:rsid w:val="003576FF"/>
    <w:rsid w:val="00357F80"/>
    <w:rsid w:val="0036304D"/>
    <w:rsid w:val="003631B2"/>
    <w:rsid w:val="00363764"/>
    <w:rsid w:val="0036462F"/>
    <w:rsid w:val="003678FA"/>
    <w:rsid w:val="00367A4B"/>
    <w:rsid w:val="00370768"/>
    <w:rsid w:val="00371303"/>
    <w:rsid w:val="0037228C"/>
    <w:rsid w:val="00372B60"/>
    <w:rsid w:val="00372E36"/>
    <w:rsid w:val="00374A52"/>
    <w:rsid w:val="0037786C"/>
    <w:rsid w:val="00380001"/>
    <w:rsid w:val="00380A73"/>
    <w:rsid w:val="00382F29"/>
    <w:rsid w:val="00384AF1"/>
    <w:rsid w:val="003857F4"/>
    <w:rsid w:val="00385A79"/>
    <w:rsid w:val="00386385"/>
    <w:rsid w:val="00386B73"/>
    <w:rsid w:val="00387555"/>
    <w:rsid w:val="0039006E"/>
    <w:rsid w:val="0039086C"/>
    <w:rsid w:val="00390A30"/>
    <w:rsid w:val="00391685"/>
    <w:rsid w:val="00391AD2"/>
    <w:rsid w:val="0039303E"/>
    <w:rsid w:val="00393B9D"/>
    <w:rsid w:val="00393EEE"/>
    <w:rsid w:val="00394823"/>
    <w:rsid w:val="003955A0"/>
    <w:rsid w:val="00396D0E"/>
    <w:rsid w:val="00396EF2"/>
    <w:rsid w:val="003978DA"/>
    <w:rsid w:val="003A13B4"/>
    <w:rsid w:val="003A179E"/>
    <w:rsid w:val="003A60F9"/>
    <w:rsid w:val="003A72AE"/>
    <w:rsid w:val="003B1507"/>
    <w:rsid w:val="003B4A8D"/>
    <w:rsid w:val="003B4F0F"/>
    <w:rsid w:val="003B5D7A"/>
    <w:rsid w:val="003B72C4"/>
    <w:rsid w:val="003C2417"/>
    <w:rsid w:val="003C276B"/>
    <w:rsid w:val="003C34C9"/>
    <w:rsid w:val="003C48B6"/>
    <w:rsid w:val="003C4FB1"/>
    <w:rsid w:val="003C798F"/>
    <w:rsid w:val="003D4318"/>
    <w:rsid w:val="003D578C"/>
    <w:rsid w:val="003D66C8"/>
    <w:rsid w:val="003D6752"/>
    <w:rsid w:val="003E0375"/>
    <w:rsid w:val="003E06AE"/>
    <w:rsid w:val="003E4422"/>
    <w:rsid w:val="003E4FF7"/>
    <w:rsid w:val="003E5506"/>
    <w:rsid w:val="003E69A3"/>
    <w:rsid w:val="003E6FC3"/>
    <w:rsid w:val="003F155D"/>
    <w:rsid w:val="003F1AAC"/>
    <w:rsid w:val="003F2B13"/>
    <w:rsid w:val="003F35EF"/>
    <w:rsid w:val="003F3B35"/>
    <w:rsid w:val="003F470F"/>
    <w:rsid w:val="003F54E9"/>
    <w:rsid w:val="00400BD8"/>
    <w:rsid w:val="00401D39"/>
    <w:rsid w:val="00403C20"/>
    <w:rsid w:val="004052B2"/>
    <w:rsid w:val="00405C0C"/>
    <w:rsid w:val="0041126F"/>
    <w:rsid w:val="00412253"/>
    <w:rsid w:val="004156A9"/>
    <w:rsid w:val="00415770"/>
    <w:rsid w:val="00415FC6"/>
    <w:rsid w:val="00417B4C"/>
    <w:rsid w:val="004234B5"/>
    <w:rsid w:val="00424342"/>
    <w:rsid w:val="00427BB5"/>
    <w:rsid w:val="00430270"/>
    <w:rsid w:val="00431299"/>
    <w:rsid w:val="00432115"/>
    <w:rsid w:val="00432B9B"/>
    <w:rsid w:val="00434060"/>
    <w:rsid w:val="00435F19"/>
    <w:rsid w:val="00435F6A"/>
    <w:rsid w:val="00436E44"/>
    <w:rsid w:val="00437569"/>
    <w:rsid w:val="00437CAD"/>
    <w:rsid w:val="0044012A"/>
    <w:rsid w:val="00441303"/>
    <w:rsid w:val="00441D52"/>
    <w:rsid w:val="00442312"/>
    <w:rsid w:val="00442E37"/>
    <w:rsid w:val="004432F6"/>
    <w:rsid w:val="00443609"/>
    <w:rsid w:val="00444478"/>
    <w:rsid w:val="00444676"/>
    <w:rsid w:val="0044485A"/>
    <w:rsid w:val="00446F85"/>
    <w:rsid w:val="004521AC"/>
    <w:rsid w:val="004522B4"/>
    <w:rsid w:val="00452338"/>
    <w:rsid w:val="00452891"/>
    <w:rsid w:val="00452900"/>
    <w:rsid w:val="00452A5B"/>
    <w:rsid w:val="00452CED"/>
    <w:rsid w:val="00454AF0"/>
    <w:rsid w:val="00456AC9"/>
    <w:rsid w:val="00457C46"/>
    <w:rsid w:val="00460012"/>
    <w:rsid w:val="00461BFF"/>
    <w:rsid w:val="00466C1C"/>
    <w:rsid w:val="0046775E"/>
    <w:rsid w:val="0047038B"/>
    <w:rsid w:val="00470D92"/>
    <w:rsid w:val="0047196C"/>
    <w:rsid w:val="0047354E"/>
    <w:rsid w:val="004736DB"/>
    <w:rsid w:val="00475510"/>
    <w:rsid w:val="0047586E"/>
    <w:rsid w:val="0047771B"/>
    <w:rsid w:val="00477873"/>
    <w:rsid w:val="00480E9D"/>
    <w:rsid w:val="004828DF"/>
    <w:rsid w:val="00483C4E"/>
    <w:rsid w:val="004846D3"/>
    <w:rsid w:val="004853B4"/>
    <w:rsid w:val="0048588A"/>
    <w:rsid w:val="00490397"/>
    <w:rsid w:val="00490692"/>
    <w:rsid w:val="00493BFD"/>
    <w:rsid w:val="004952D7"/>
    <w:rsid w:val="00496108"/>
    <w:rsid w:val="004A0830"/>
    <w:rsid w:val="004A0DCB"/>
    <w:rsid w:val="004A0E05"/>
    <w:rsid w:val="004A11C7"/>
    <w:rsid w:val="004A18D7"/>
    <w:rsid w:val="004A1B26"/>
    <w:rsid w:val="004A3B6F"/>
    <w:rsid w:val="004A44E7"/>
    <w:rsid w:val="004A5489"/>
    <w:rsid w:val="004B3935"/>
    <w:rsid w:val="004B4D21"/>
    <w:rsid w:val="004B6915"/>
    <w:rsid w:val="004C00FC"/>
    <w:rsid w:val="004C17CB"/>
    <w:rsid w:val="004C195F"/>
    <w:rsid w:val="004C41E7"/>
    <w:rsid w:val="004C5759"/>
    <w:rsid w:val="004C7191"/>
    <w:rsid w:val="004D0248"/>
    <w:rsid w:val="004D0BDF"/>
    <w:rsid w:val="004D21B4"/>
    <w:rsid w:val="004D3A0B"/>
    <w:rsid w:val="004D469E"/>
    <w:rsid w:val="004D4B67"/>
    <w:rsid w:val="004E0F69"/>
    <w:rsid w:val="004E47D8"/>
    <w:rsid w:val="004E4BBD"/>
    <w:rsid w:val="004E5018"/>
    <w:rsid w:val="004E5C28"/>
    <w:rsid w:val="004E5EFE"/>
    <w:rsid w:val="004F064A"/>
    <w:rsid w:val="004F0FD3"/>
    <w:rsid w:val="004F2231"/>
    <w:rsid w:val="004F3FEB"/>
    <w:rsid w:val="004F774D"/>
    <w:rsid w:val="004F79D9"/>
    <w:rsid w:val="0050104B"/>
    <w:rsid w:val="005014CD"/>
    <w:rsid w:val="00501793"/>
    <w:rsid w:val="00505BFD"/>
    <w:rsid w:val="00507B4B"/>
    <w:rsid w:val="00507D52"/>
    <w:rsid w:val="00510368"/>
    <w:rsid w:val="00510AA1"/>
    <w:rsid w:val="00511E6F"/>
    <w:rsid w:val="00512879"/>
    <w:rsid w:val="005176D0"/>
    <w:rsid w:val="005204CB"/>
    <w:rsid w:val="00520C9A"/>
    <w:rsid w:val="00520DE3"/>
    <w:rsid w:val="00521224"/>
    <w:rsid w:val="00522A18"/>
    <w:rsid w:val="00524F37"/>
    <w:rsid w:val="00525AEA"/>
    <w:rsid w:val="00525FA8"/>
    <w:rsid w:val="005261A2"/>
    <w:rsid w:val="005272D8"/>
    <w:rsid w:val="00530B7D"/>
    <w:rsid w:val="0053139A"/>
    <w:rsid w:val="005319EA"/>
    <w:rsid w:val="00531EA2"/>
    <w:rsid w:val="00532D90"/>
    <w:rsid w:val="005334CB"/>
    <w:rsid w:val="00533D48"/>
    <w:rsid w:val="005410F1"/>
    <w:rsid w:val="0054181C"/>
    <w:rsid w:val="005419E9"/>
    <w:rsid w:val="00541DC9"/>
    <w:rsid w:val="00542475"/>
    <w:rsid w:val="005440CF"/>
    <w:rsid w:val="00544CA6"/>
    <w:rsid w:val="00550929"/>
    <w:rsid w:val="00550C9C"/>
    <w:rsid w:val="005516A8"/>
    <w:rsid w:val="005545AE"/>
    <w:rsid w:val="00554A16"/>
    <w:rsid w:val="00560786"/>
    <w:rsid w:val="00562521"/>
    <w:rsid w:val="0056268F"/>
    <w:rsid w:val="0056306F"/>
    <w:rsid w:val="00563557"/>
    <w:rsid w:val="0056476B"/>
    <w:rsid w:val="0056530F"/>
    <w:rsid w:val="00565C3C"/>
    <w:rsid w:val="005663C6"/>
    <w:rsid w:val="0057085B"/>
    <w:rsid w:val="00570C6B"/>
    <w:rsid w:val="00571A00"/>
    <w:rsid w:val="00572DF6"/>
    <w:rsid w:val="00573388"/>
    <w:rsid w:val="00573AB6"/>
    <w:rsid w:val="00577D77"/>
    <w:rsid w:val="00577FFD"/>
    <w:rsid w:val="00580725"/>
    <w:rsid w:val="005824D3"/>
    <w:rsid w:val="00582BC1"/>
    <w:rsid w:val="00586657"/>
    <w:rsid w:val="00586FDE"/>
    <w:rsid w:val="005872A0"/>
    <w:rsid w:val="00587C9B"/>
    <w:rsid w:val="00587F89"/>
    <w:rsid w:val="005902A2"/>
    <w:rsid w:val="00590E5A"/>
    <w:rsid w:val="00593B1A"/>
    <w:rsid w:val="005940D1"/>
    <w:rsid w:val="00594E34"/>
    <w:rsid w:val="00595ADB"/>
    <w:rsid w:val="00596A82"/>
    <w:rsid w:val="00596C14"/>
    <w:rsid w:val="005A1053"/>
    <w:rsid w:val="005A1219"/>
    <w:rsid w:val="005A2BB7"/>
    <w:rsid w:val="005A3350"/>
    <w:rsid w:val="005A3A8D"/>
    <w:rsid w:val="005A4ADA"/>
    <w:rsid w:val="005A698E"/>
    <w:rsid w:val="005A6F2F"/>
    <w:rsid w:val="005B283E"/>
    <w:rsid w:val="005B2965"/>
    <w:rsid w:val="005B2D50"/>
    <w:rsid w:val="005B3A18"/>
    <w:rsid w:val="005B41AA"/>
    <w:rsid w:val="005B4F61"/>
    <w:rsid w:val="005B57EF"/>
    <w:rsid w:val="005C1A04"/>
    <w:rsid w:val="005C3034"/>
    <w:rsid w:val="005C348F"/>
    <w:rsid w:val="005C5968"/>
    <w:rsid w:val="005C60BE"/>
    <w:rsid w:val="005C6CB1"/>
    <w:rsid w:val="005C7707"/>
    <w:rsid w:val="005C7D34"/>
    <w:rsid w:val="005D133C"/>
    <w:rsid w:val="005D3309"/>
    <w:rsid w:val="005D33D4"/>
    <w:rsid w:val="005D5CF2"/>
    <w:rsid w:val="005D7FCA"/>
    <w:rsid w:val="005E081D"/>
    <w:rsid w:val="005E1232"/>
    <w:rsid w:val="005E485F"/>
    <w:rsid w:val="005E57D9"/>
    <w:rsid w:val="005F0658"/>
    <w:rsid w:val="005F77A2"/>
    <w:rsid w:val="006002AA"/>
    <w:rsid w:val="00601F0C"/>
    <w:rsid w:val="00601F43"/>
    <w:rsid w:val="00602AD8"/>
    <w:rsid w:val="00602D24"/>
    <w:rsid w:val="006032BF"/>
    <w:rsid w:val="006034D0"/>
    <w:rsid w:val="00604B41"/>
    <w:rsid w:val="00605C92"/>
    <w:rsid w:val="0060707D"/>
    <w:rsid w:val="006071AC"/>
    <w:rsid w:val="0060791B"/>
    <w:rsid w:val="00611C67"/>
    <w:rsid w:val="00614076"/>
    <w:rsid w:val="00614391"/>
    <w:rsid w:val="00614E5A"/>
    <w:rsid w:val="00616235"/>
    <w:rsid w:val="00620244"/>
    <w:rsid w:val="00620B8A"/>
    <w:rsid w:val="0062275E"/>
    <w:rsid w:val="0062413E"/>
    <w:rsid w:val="0062554E"/>
    <w:rsid w:val="006258B1"/>
    <w:rsid w:val="00630230"/>
    <w:rsid w:val="00630E03"/>
    <w:rsid w:val="00631233"/>
    <w:rsid w:val="00631513"/>
    <w:rsid w:val="0063197E"/>
    <w:rsid w:val="00632042"/>
    <w:rsid w:val="00635345"/>
    <w:rsid w:val="00635E2F"/>
    <w:rsid w:val="00636EB6"/>
    <w:rsid w:val="006374F9"/>
    <w:rsid w:val="00637CB0"/>
    <w:rsid w:val="00640B8B"/>
    <w:rsid w:val="00641184"/>
    <w:rsid w:val="00641990"/>
    <w:rsid w:val="00643E28"/>
    <w:rsid w:val="00645153"/>
    <w:rsid w:val="00646223"/>
    <w:rsid w:val="00647799"/>
    <w:rsid w:val="00650304"/>
    <w:rsid w:val="006529FA"/>
    <w:rsid w:val="006535F8"/>
    <w:rsid w:val="00653B45"/>
    <w:rsid w:val="00657CAF"/>
    <w:rsid w:val="0066039A"/>
    <w:rsid w:val="00662123"/>
    <w:rsid w:val="00663B7B"/>
    <w:rsid w:val="00663D86"/>
    <w:rsid w:val="006640FF"/>
    <w:rsid w:val="0066461E"/>
    <w:rsid w:val="00665387"/>
    <w:rsid w:val="00667145"/>
    <w:rsid w:val="0066718B"/>
    <w:rsid w:val="006673BB"/>
    <w:rsid w:val="006677A6"/>
    <w:rsid w:val="00670AD9"/>
    <w:rsid w:val="00671197"/>
    <w:rsid w:val="006713C2"/>
    <w:rsid w:val="00671674"/>
    <w:rsid w:val="00671713"/>
    <w:rsid w:val="006719F3"/>
    <w:rsid w:val="006728B8"/>
    <w:rsid w:val="00673AE4"/>
    <w:rsid w:val="00673D28"/>
    <w:rsid w:val="0067402D"/>
    <w:rsid w:val="00675E56"/>
    <w:rsid w:val="0067632C"/>
    <w:rsid w:val="00676EB1"/>
    <w:rsid w:val="00677A85"/>
    <w:rsid w:val="006805A5"/>
    <w:rsid w:val="00680B51"/>
    <w:rsid w:val="00680F6F"/>
    <w:rsid w:val="00681E64"/>
    <w:rsid w:val="006820BF"/>
    <w:rsid w:val="006821E3"/>
    <w:rsid w:val="00682E33"/>
    <w:rsid w:val="006840E1"/>
    <w:rsid w:val="00684DB3"/>
    <w:rsid w:val="00687F92"/>
    <w:rsid w:val="00693518"/>
    <w:rsid w:val="00693F2B"/>
    <w:rsid w:val="00694C51"/>
    <w:rsid w:val="006955E7"/>
    <w:rsid w:val="00695B03"/>
    <w:rsid w:val="00695FCF"/>
    <w:rsid w:val="00696965"/>
    <w:rsid w:val="00696DDA"/>
    <w:rsid w:val="00696EF2"/>
    <w:rsid w:val="006A135C"/>
    <w:rsid w:val="006A243E"/>
    <w:rsid w:val="006A4CFB"/>
    <w:rsid w:val="006A5914"/>
    <w:rsid w:val="006A6597"/>
    <w:rsid w:val="006A71A2"/>
    <w:rsid w:val="006B2505"/>
    <w:rsid w:val="006B3337"/>
    <w:rsid w:val="006B4075"/>
    <w:rsid w:val="006B5E7A"/>
    <w:rsid w:val="006B6817"/>
    <w:rsid w:val="006B6956"/>
    <w:rsid w:val="006C09E3"/>
    <w:rsid w:val="006C17D2"/>
    <w:rsid w:val="006C3014"/>
    <w:rsid w:val="006C41FF"/>
    <w:rsid w:val="006C4E62"/>
    <w:rsid w:val="006C7521"/>
    <w:rsid w:val="006D254F"/>
    <w:rsid w:val="006D2E9C"/>
    <w:rsid w:val="006D30E8"/>
    <w:rsid w:val="006D502F"/>
    <w:rsid w:val="006D5067"/>
    <w:rsid w:val="006D6B8C"/>
    <w:rsid w:val="006D73D4"/>
    <w:rsid w:val="006D7A16"/>
    <w:rsid w:val="006E1EA3"/>
    <w:rsid w:val="006E2142"/>
    <w:rsid w:val="006E265E"/>
    <w:rsid w:val="006E27FD"/>
    <w:rsid w:val="006E4DAD"/>
    <w:rsid w:val="006E56F1"/>
    <w:rsid w:val="006E6CC2"/>
    <w:rsid w:val="006F5C05"/>
    <w:rsid w:val="006F5E1D"/>
    <w:rsid w:val="006F6ADA"/>
    <w:rsid w:val="006F707F"/>
    <w:rsid w:val="006F7E22"/>
    <w:rsid w:val="00701CC2"/>
    <w:rsid w:val="007028B2"/>
    <w:rsid w:val="007034D2"/>
    <w:rsid w:val="007036DF"/>
    <w:rsid w:val="0070382E"/>
    <w:rsid w:val="0070478C"/>
    <w:rsid w:val="0070548A"/>
    <w:rsid w:val="0070621C"/>
    <w:rsid w:val="00706682"/>
    <w:rsid w:val="00707993"/>
    <w:rsid w:val="00710B7D"/>
    <w:rsid w:val="0071123A"/>
    <w:rsid w:val="00711E25"/>
    <w:rsid w:val="00712A2C"/>
    <w:rsid w:val="007138CC"/>
    <w:rsid w:val="0071439B"/>
    <w:rsid w:val="00714848"/>
    <w:rsid w:val="00715D3D"/>
    <w:rsid w:val="007209B4"/>
    <w:rsid w:val="00720FB7"/>
    <w:rsid w:val="0072122E"/>
    <w:rsid w:val="00723B85"/>
    <w:rsid w:val="00724554"/>
    <w:rsid w:val="007257B8"/>
    <w:rsid w:val="00725DCD"/>
    <w:rsid w:val="00727A83"/>
    <w:rsid w:val="0073174A"/>
    <w:rsid w:val="00732592"/>
    <w:rsid w:val="007333BE"/>
    <w:rsid w:val="007335A8"/>
    <w:rsid w:val="00736855"/>
    <w:rsid w:val="00737013"/>
    <w:rsid w:val="0073747A"/>
    <w:rsid w:val="0073764E"/>
    <w:rsid w:val="00737DDD"/>
    <w:rsid w:val="00740765"/>
    <w:rsid w:val="007414A3"/>
    <w:rsid w:val="00741C6B"/>
    <w:rsid w:val="0075099D"/>
    <w:rsid w:val="0075229E"/>
    <w:rsid w:val="007544BE"/>
    <w:rsid w:val="00756B84"/>
    <w:rsid w:val="00756D61"/>
    <w:rsid w:val="0075721B"/>
    <w:rsid w:val="00757A75"/>
    <w:rsid w:val="00760136"/>
    <w:rsid w:val="00760496"/>
    <w:rsid w:val="0076053B"/>
    <w:rsid w:val="00763FB0"/>
    <w:rsid w:val="007652AF"/>
    <w:rsid w:val="007667ED"/>
    <w:rsid w:val="00770D2D"/>
    <w:rsid w:val="00772C0B"/>
    <w:rsid w:val="007738D0"/>
    <w:rsid w:val="00773C7D"/>
    <w:rsid w:val="00773EC0"/>
    <w:rsid w:val="00774E33"/>
    <w:rsid w:val="0077567A"/>
    <w:rsid w:val="00775DA1"/>
    <w:rsid w:val="00780533"/>
    <w:rsid w:val="00780D8F"/>
    <w:rsid w:val="0078262C"/>
    <w:rsid w:val="0078344A"/>
    <w:rsid w:val="007847DB"/>
    <w:rsid w:val="00786BC4"/>
    <w:rsid w:val="0078737D"/>
    <w:rsid w:val="00790464"/>
    <w:rsid w:val="007939B6"/>
    <w:rsid w:val="007964C7"/>
    <w:rsid w:val="007965F2"/>
    <w:rsid w:val="00796755"/>
    <w:rsid w:val="0079678B"/>
    <w:rsid w:val="007974E2"/>
    <w:rsid w:val="007A1C59"/>
    <w:rsid w:val="007A4969"/>
    <w:rsid w:val="007A6D9A"/>
    <w:rsid w:val="007B01D2"/>
    <w:rsid w:val="007B04E4"/>
    <w:rsid w:val="007B05F7"/>
    <w:rsid w:val="007B14A4"/>
    <w:rsid w:val="007B1924"/>
    <w:rsid w:val="007B199A"/>
    <w:rsid w:val="007B1BA6"/>
    <w:rsid w:val="007B2104"/>
    <w:rsid w:val="007B48F8"/>
    <w:rsid w:val="007B4C9D"/>
    <w:rsid w:val="007B4CB6"/>
    <w:rsid w:val="007B55B5"/>
    <w:rsid w:val="007B5624"/>
    <w:rsid w:val="007C0C20"/>
    <w:rsid w:val="007C264B"/>
    <w:rsid w:val="007C3D92"/>
    <w:rsid w:val="007C5078"/>
    <w:rsid w:val="007C5420"/>
    <w:rsid w:val="007C5542"/>
    <w:rsid w:val="007C7E5A"/>
    <w:rsid w:val="007D03D5"/>
    <w:rsid w:val="007D1008"/>
    <w:rsid w:val="007D1B67"/>
    <w:rsid w:val="007D2672"/>
    <w:rsid w:val="007D4B6B"/>
    <w:rsid w:val="007D62DC"/>
    <w:rsid w:val="007D7930"/>
    <w:rsid w:val="007E0965"/>
    <w:rsid w:val="007E1DB9"/>
    <w:rsid w:val="007E3347"/>
    <w:rsid w:val="007E497F"/>
    <w:rsid w:val="007E4A1A"/>
    <w:rsid w:val="007E6B12"/>
    <w:rsid w:val="007E728E"/>
    <w:rsid w:val="007E784C"/>
    <w:rsid w:val="007E7C5E"/>
    <w:rsid w:val="007F01D1"/>
    <w:rsid w:val="007F130A"/>
    <w:rsid w:val="007F2ABD"/>
    <w:rsid w:val="007F2BD9"/>
    <w:rsid w:val="007F3411"/>
    <w:rsid w:val="007F3D4F"/>
    <w:rsid w:val="007F46C8"/>
    <w:rsid w:val="007F5D18"/>
    <w:rsid w:val="007F7278"/>
    <w:rsid w:val="00802069"/>
    <w:rsid w:val="008025DC"/>
    <w:rsid w:val="00803441"/>
    <w:rsid w:val="00803C62"/>
    <w:rsid w:val="00804056"/>
    <w:rsid w:val="008042C1"/>
    <w:rsid w:val="00804F6E"/>
    <w:rsid w:val="00806EC8"/>
    <w:rsid w:val="00811DF6"/>
    <w:rsid w:val="00814CE9"/>
    <w:rsid w:val="00815A7F"/>
    <w:rsid w:val="00815D73"/>
    <w:rsid w:val="008168C6"/>
    <w:rsid w:val="00817312"/>
    <w:rsid w:val="008176D9"/>
    <w:rsid w:val="008243AC"/>
    <w:rsid w:val="00825BCB"/>
    <w:rsid w:val="0082609D"/>
    <w:rsid w:val="00826E81"/>
    <w:rsid w:val="008270A6"/>
    <w:rsid w:val="00827BB7"/>
    <w:rsid w:val="00831988"/>
    <w:rsid w:val="00832233"/>
    <w:rsid w:val="00832BDC"/>
    <w:rsid w:val="0083364D"/>
    <w:rsid w:val="008340F1"/>
    <w:rsid w:val="00834A4A"/>
    <w:rsid w:val="0083539A"/>
    <w:rsid w:val="0083564F"/>
    <w:rsid w:val="008356C6"/>
    <w:rsid w:val="0083673F"/>
    <w:rsid w:val="00837343"/>
    <w:rsid w:val="008409F8"/>
    <w:rsid w:val="00844028"/>
    <w:rsid w:val="0084493B"/>
    <w:rsid w:val="00845D51"/>
    <w:rsid w:val="008469EE"/>
    <w:rsid w:val="0085024A"/>
    <w:rsid w:val="008506DB"/>
    <w:rsid w:val="008513F9"/>
    <w:rsid w:val="008520A8"/>
    <w:rsid w:val="008521CA"/>
    <w:rsid w:val="00852FF8"/>
    <w:rsid w:val="00853A5E"/>
    <w:rsid w:val="00854523"/>
    <w:rsid w:val="00856033"/>
    <w:rsid w:val="008566B3"/>
    <w:rsid w:val="00856765"/>
    <w:rsid w:val="00856B3F"/>
    <w:rsid w:val="00857F4D"/>
    <w:rsid w:val="00862ED1"/>
    <w:rsid w:val="00863954"/>
    <w:rsid w:val="00864CDB"/>
    <w:rsid w:val="00865C41"/>
    <w:rsid w:val="00867AEB"/>
    <w:rsid w:val="0087532F"/>
    <w:rsid w:val="008775A4"/>
    <w:rsid w:val="00880F66"/>
    <w:rsid w:val="00881122"/>
    <w:rsid w:val="00881362"/>
    <w:rsid w:val="00881634"/>
    <w:rsid w:val="00881918"/>
    <w:rsid w:val="00881AF4"/>
    <w:rsid w:val="008834FE"/>
    <w:rsid w:val="00883BC1"/>
    <w:rsid w:val="00884474"/>
    <w:rsid w:val="00884AE7"/>
    <w:rsid w:val="0088656A"/>
    <w:rsid w:val="00890405"/>
    <w:rsid w:val="008920DC"/>
    <w:rsid w:val="0089389F"/>
    <w:rsid w:val="008952D7"/>
    <w:rsid w:val="008956D1"/>
    <w:rsid w:val="008957EB"/>
    <w:rsid w:val="008957EF"/>
    <w:rsid w:val="008972B2"/>
    <w:rsid w:val="008976A1"/>
    <w:rsid w:val="008A0E25"/>
    <w:rsid w:val="008A1766"/>
    <w:rsid w:val="008A67CF"/>
    <w:rsid w:val="008A6928"/>
    <w:rsid w:val="008A75DE"/>
    <w:rsid w:val="008B13E8"/>
    <w:rsid w:val="008B2BA7"/>
    <w:rsid w:val="008B311F"/>
    <w:rsid w:val="008B3494"/>
    <w:rsid w:val="008B3B50"/>
    <w:rsid w:val="008B60A3"/>
    <w:rsid w:val="008B67C5"/>
    <w:rsid w:val="008B7022"/>
    <w:rsid w:val="008C084F"/>
    <w:rsid w:val="008C0A82"/>
    <w:rsid w:val="008C29D7"/>
    <w:rsid w:val="008C4980"/>
    <w:rsid w:val="008C5798"/>
    <w:rsid w:val="008D0255"/>
    <w:rsid w:val="008D12F8"/>
    <w:rsid w:val="008D1444"/>
    <w:rsid w:val="008D2BDD"/>
    <w:rsid w:val="008D33F8"/>
    <w:rsid w:val="008D4BC6"/>
    <w:rsid w:val="008D5B31"/>
    <w:rsid w:val="008E3740"/>
    <w:rsid w:val="008E43D0"/>
    <w:rsid w:val="008E4AD4"/>
    <w:rsid w:val="008E6E4F"/>
    <w:rsid w:val="008F1906"/>
    <w:rsid w:val="008F2550"/>
    <w:rsid w:val="008F2E54"/>
    <w:rsid w:val="008F6975"/>
    <w:rsid w:val="008F6E1D"/>
    <w:rsid w:val="008F72C4"/>
    <w:rsid w:val="008F7C0C"/>
    <w:rsid w:val="00900A5F"/>
    <w:rsid w:val="00902865"/>
    <w:rsid w:val="00903822"/>
    <w:rsid w:val="00904A76"/>
    <w:rsid w:val="0090652E"/>
    <w:rsid w:val="00906DD1"/>
    <w:rsid w:val="0091562E"/>
    <w:rsid w:val="009171F5"/>
    <w:rsid w:val="00917BA0"/>
    <w:rsid w:val="00917D94"/>
    <w:rsid w:val="00920C2E"/>
    <w:rsid w:val="00920E58"/>
    <w:rsid w:val="00921057"/>
    <w:rsid w:val="00921980"/>
    <w:rsid w:val="00921E42"/>
    <w:rsid w:val="009221E2"/>
    <w:rsid w:val="00924122"/>
    <w:rsid w:val="009241E0"/>
    <w:rsid w:val="009252ED"/>
    <w:rsid w:val="0092558B"/>
    <w:rsid w:val="00930CCE"/>
    <w:rsid w:val="00931A17"/>
    <w:rsid w:val="009329EF"/>
    <w:rsid w:val="00935354"/>
    <w:rsid w:val="009353AC"/>
    <w:rsid w:val="009360C0"/>
    <w:rsid w:val="0093653B"/>
    <w:rsid w:val="00936FF7"/>
    <w:rsid w:val="00937550"/>
    <w:rsid w:val="00941700"/>
    <w:rsid w:val="00943449"/>
    <w:rsid w:val="009440C4"/>
    <w:rsid w:val="00944563"/>
    <w:rsid w:val="00945074"/>
    <w:rsid w:val="00945285"/>
    <w:rsid w:val="00947084"/>
    <w:rsid w:val="00947FBD"/>
    <w:rsid w:val="009519A7"/>
    <w:rsid w:val="00954B63"/>
    <w:rsid w:val="00955C33"/>
    <w:rsid w:val="009565DD"/>
    <w:rsid w:val="0095699A"/>
    <w:rsid w:val="00957435"/>
    <w:rsid w:val="00957526"/>
    <w:rsid w:val="00957D24"/>
    <w:rsid w:val="009605F2"/>
    <w:rsid w:val="009630B4"/>
    <w:rsid w:val="009650B3"/>
    <w:rsid w:val="00965964"/>
    <w:rsid w:val="00967261"/>
    <w:rsid w:val="00967CFF"/>
    <w:rsid w:val="0097162D"/>
    <w:rsid w:val="009722DB"/>
    <w:rsid w:val="00972436"/>
    <w:rsid w:val="00973B94"/>
    <w:rsid w:val="00974F6D"/>
    <w:rsid w:val="00975120"/>
    <w:rsid w:val="00976F80"/>
    <w:rsid w:val="009770DC"/>
    <w:rsid w:val="0097797D"/>
    <w:rsid w:val="009805F2"/>
    <w:rsid w:val="00981D4F"/>
    <w:rsid w:val="00986052"/>
    <w:rsid w:val="009863A0"/>
    <w:rsid w:val="00987C74"/>
    <w:rsid w:val="00992312"/>
    <w:rsid w:val="00993F85"/>
    <w:rsid w:val="00994A6B"/>
    <w:rsid w:val="009966DC"/>
    <w:rsid w:val="00996FA7"/>
    <w:rsid w:val="009A1968"/>
    <w:rsid w:val="009A2DA3"/>
    <w:rsid w:val="009A2DCE"/>
    <w:rsid w:val="009A3ADF"/>
    <w:rsid w:val="009A662A"/>
    <w:rsid w:val="009A6C03"/>
    <w:rsid w:val="009A7F2E"/>
    <w:rsid w:val="009B0070"/>
    <w:rsid w:val="009B0372"/>
    <w:rsid w:val="009B0C1D"/>
    <w:rsid w:val="009B12D6"/>
    <w:rsid w:val="009B2E68"/>
    <w:rsid w:val="009B33B1"/>
    <w:rsid w:val="009B3A00"/>
    <w:rsid w:val="009B3FF2"/>
    <w:rsid w:val="009B5BF8"/>
    <w:rsid w:val="009C0CB2"/>
    <w:rsid w:val="009C0D95"/>
    <w:rsid w:val="009C1A22"/>
    <w:rsid w:val="009C2C3C"/>
    <w:rsid w:val="009C4786"/>
    <w:rsid w:val="009C603E"/>
    <w:rsid w:val="009C7037"/>
    <w:rsid w:val="009C7943"/>
    <w:rsid w:val="009C7C25"/>
    <w:rsid w:val="009C7DEA"/>
    <w:rsid w:val="009D1970"/>
    <w:rsid w:val="009D1A5C"/>
    <w:rsid w:val="009D2044"/>
    <w:rsid w:val="009D4F4F"/>
    <w:rsid w:val="009D6E1C"/>
    <w:rsid w:val="009D7945"/>
    <w:rsid w:val="009E2840"/>
    <w:rsid w:val="009E30A5"/>
    <w:rsid w:val="009E3CEE"/>
    <w:rsid w:val="009E3EAC"/>
    <w:rsid w:val="009E4342"/>
    <w:rsid w:val="009E6BE3"/>
    <w:rsid w:val="009E77F3"/>
    <w:rsid w:val="009F03B6"/>
    <w:rsid w:val="009F0432"/>
    <w:rsid w:val="009F2842"/>
    <w:rsid w:val="009F2CAA"/>
    <w:rsid w:val="009F3165"/>
    <w:rsid w:val="009F4B17"/>
    <w:rsid w:val="009F534C"/>
    <w:rsid w:val="009F691A"/>
    <w:rsid w:val="009F6B11"/>
    <w:rsid w:val="00A0147B"/>
    <w:rsid w:val="00A0440F"/>
    <w:rsid w:val="00A04DE3"/>
    <w:rsid w:val="00A04E54"/>
    <w:rsid w:val="00A061EB"/>
    <w:rsid w:val="00A0692C"/>
    <w:rsid w:val="00A0698F"/>
    <w:rsid w:val="00A07051"/>
    <w:rsid w:val="00A12E53"/>
    <w:rsid w:val="00A12ECA"/>
    <w:rsid w:val="00A1328A"/>
    <w:rsid w:val="00A13DFC"/>
    <w:rsid w:val="00A15861"/>
    <w:rsid w:val="00A15A7C"/>
    <w:rsid w:val="00A16B16"/>
    <w:rsid w:val="00A23E03"/>
    <w:rsid w:val="00A24A0C"/>
    <w:rsid w:val="00A262FF"/>
    <w:rsid w:val="00A27573"/>
    <w:rsid w:val="00A2763D"/>
    <w:rsid w:val="00A277F8"/>
    <w:rsid w:val="00A326F0"/>
    <w:rsid w:val="00A364A1"/>
    <w:rsid w:val="00A36649"/>
    <w:rsid w:val="00A36D32"/>
    <w:rsid w:val="00A401BC"/>
    <w:rsid w:val="00A40F25"/>
    <w:rsid w:val="00A42A7F"/>
    <w:rsid w:val="00A436C7"/>
    <w:rsid w:val="00A44114"/>
    <w:rsid w:val="00A44F7D"/>
    <w:rsid w:val="00A4592F"/>
    <w:rsid w:val="00A45EA3"/>
    <w:rsid w:val="00A53D99"/>
    <w:rsid w:val="00A57E00"/>
    <w:rsid w:val="00A60022"/>
    <w:rsid w:val="00A63606"/>
    <w:rsid w:val="00A640FB"/>
    <w:rsid w:val="00A650B3"/>
    <w:rsid w:val="00A65944"/>
    <w:rsid w:val="00A65B9D"/>
    <w:rsid w:val="00A65D3E"/>
    <w:rsid w:val="00A66062"/>
    <w:rsid w:val="00A66317"/>
    <w:rsid w:val="00A66E9E"/>
    <w:rsid w:val="00A66F3E"/>
    <w:rsid w:val="00A710F1"/>
    <w:rsid w:val="00A71D3F"/>
    <w:rsid w:val="00A71FF1"/>
    <w:rsid w:val="00A7213D"/>
    <w:rsid w:val="00A726D2"/>
    <w:rsid w:val="00A76386"/>
    <w:rsid w:val="00A76C57"/>
    <w:rsid w:val="00A7781C"/>
    <w:rsid w:val="00A80422"/>
    <w:rsid w:val="00A811B1"/>
    <w:rsid w:val="00A833D7"/>
    <w:rsid w:val="00A8485C"/>
    <w:rsid w:val="00A86DA7"/>
    <w:rsid w:val="00A87959"/>
    <w:rsid w:val="00A91E49"/>
    <w:rsid w:val="00A9205A"/>
    <w:rsid w:val="00A953F8"/>
    <w:rsid w:val="00A96450"/>
    <w:rsid w:val="00A969F4"/>
    <w:rsid w:val="00A97626"/>
    <w:rsid w:val="00A97A53"/>
    <w:rsid w:val="00AA2A57"/>
    <w:rsid w:val="00AA5738"/>
    <w:rsid w:val="00AB0FBF"/>
    <w:rsid w:val="00AB2F97"/>
    <w:rsid w:val="00AB5A9E"/>
    <w:rsid w:val="00AC18D7"/>
    <w:rsid w:val="00AC2611"/>
    <w:rsid w:val="00AC2E6A"/>
    <w:rsid w:val="00AC32A3"/>
    <w:rsid w:val="00AC5163"/>
    <w:rsid w:val="00AC5FC5"/>
    <w:rsid w:val="00AD05A6"/>
    <w:rsid w:val="00AD05EC"/>
    <w:rsid w:val="00AD436F"/>
    <w:rsid w:val="00AD54C0"/>
    <w:rsid w:val="00AD6ECE"/>
    <w:rsid w:val="00AD6F2D"/>
    <w:rsid w:val="00AD7456"/>
    <w:rsid w:val="00AD7467"/>
    <w:rsid w:val="00AE0F77"/>
    <w:rsid w:val="00AE2004"/>
    <w:rsid w:val="00AE33B0"/>
    <w:rsid w:val="00AE4C5E"/>
    <w:rsid w:val="00AE52B8"/>
    <w:rsid w:val="00AE7BCB"/>
    <w:rsid w:val="00AE7C72"/>
    <w:rsid w:val="00AF0726"/>
    <w:rsid w:val="00AF24B2"/>
    <w:rsid w:val="00AF3265"/>
    <w:rsid w:val="00AF3B0B"/>
    <w:rsid w:val="00AF3E55"/>
    <w:rsid w:val="00AF529C"/>
    <w:rsid w:val="00AF5345"/>
    <w:rsid w:val="00AF5B03"/>
    <w:rsid w:val="00AF60B7"/>
    <w:rsid w:val="00AF6AB3"/>
    <w:rsid w:val="00B01613"/>
    <w:rsid w:val="00B03791"/>
    <w:rsid w:val="00B047F1"/>
    <w:rsid w:val="00B051CC"/>
    <w:rsid w:val="00B05DEA"/>
    <w:rsid w:val="00B07636"/>
    <w:rsid w:val="00B105D4"/>
    <w:rsid w:val="00B11C8C"/>
    <w:rsid w:val="00B1325C"/>
    <w:rsid w:val="00B15995"/>
    <w:rsid w:val="00B16885"/>
    <w:rsid w:val="00B17FF8"/>
    <w:rsid w:val="00B20DA5"/>
    <w:rsid w:val="00B22FEF"/>
    <w:rsid w:val="00B235F7"/>
    <w:rsid w:val="00B242B8"/>
    <w:rsid w:val="00B24831"/>
    <w:rsid w:val="00B265A5"/>
    <w:rsid w:val="00B30840"/>
    <w:rsid w:val="00B30A72"/>
    <w:rsid w:val="00B30CF7"/>
    <w:rsid w:val="00B30F3E"/>
    <w:rsid w:val="00B3176E"/>
    <w:rsid w:val="00B3280B"/>
    <w:rsid w:val="00B34570"/>
    <w:rsid w:val="00B365C9"/>
    <w:rsid w:val="00B375D7"/>
    <w:rsid w:val="00B40BD6"/>
    <w:rsid w:val="00B41766"/>
    <w:rsid w:val="00B4258F"/>
    <w:rsid w:val="00B43BAA"/>
    <w:rsid w:val="00B440C1"/>
    <w:rsid w:val="00B46F5D"/>
    <w:rsid w:val="00B5071A"/>
    <w:rsid w:val="00B507D6"/>
    <w:rsid w:val="00B510D1"/>
    <w:rsid w:val="00B516F4"/>
    <w:rsid w:val="00B535A9"/>
    <w:rsid w:val="00B53695"/>
    <w:rsid w:val="00B55A88"/>
    <w:rsid w:val="00B560F9"/>
    <w:rsid w:val="00B6021A"/>
    <w:rsid w:val="00B603E0"/>
    <w:rsid w:val="00B61CD8"/>
    <w:rsid w:val="00B625DC"/>
    <w:rsid w:val="00B63F07"/>
    <w:rsid w:val="00B64678"/>
    <w:rsid w:val="00B64FD7"/>
    <w:rsid w:val="00B65FD9"/>
    <w:rsid w:val="00B6634F"/>
    <w:rsid w:val="00B67FDC"/>
    <w:rsid w:val="00B708CF"/>
    <w:rsid w:val="00B71781"/>
    <w:rsid w:val="00B7222E"/>
    <w:rsid w:val="00B7336C"/>
    <w:rsid w:val="00B7548C"/>
    <w:rsid w:val="00B76575"/>
    <w:rsid w:val="00B76C6A"/>
    <w:rsid w:val="00B7772A"/>
    <w:rsid w:val="00B77794"/>
    <w:rsid w:val="00B80677"/>
    <w:rsid w:val="00B81093"/>
    <w:rsid w:val="00B81142"/>
    <w:rsid w:val="00B81958"/>
    <w:rsid w:val="00B81B43"/>
    <w:rsid w:val="00B82437"/>
    <w:rsid w:val="00B829A8"/>
    <w:rsid w:val="00B829B3"/>
    <w:rsid w:val="00B82B47"/>
    <w:rsid w:val="00B83749"/>
    <w:rsid w:val="00B83E02"/>
    <w:rsid w:val="00B860F7"/>
    <w:rsid w:val="00B87617"/>
    <w:rsid w:val="00B92684"/>
    <w:rsid w:val="00B934C6"/>
    <w:rsid w:val="00B94F34"/>
    <w:rsid w:val="00B95065"/>
    <w:rsid w:val="00B958AA"/>
    <w:rsid w:val="00B96E93"/>
    <w:rsid w:val="00B971AE"/>
    <w:rsid w:val="00B97AE8"/>
    <w:rsid w:val="00BA1049"/>
    <w:rsid w:val="00BA2289"/>
    <w:rsid w:val="00BA328C"/>
    <w:rsid w:val="00BA3745"/>
    <w:rsid w:val="00BA39B2"/>
    <w:rsid w:val="00BA45C1"/>
    <w:rsid w:val="00BA6AE4"/>
    <w:rsid w:val="00BB01C4"/>
    <w:rsid w:val="00BB1DDF"/>
    <w:rsid w:val="00BB1F05"/>
    <w:rsid w:val="00BB3250"/>
    <w:rsid w:val="00BB4665"/>
    <w:rsid w:val="00BB4A4E"/>
    <w:rsid w:val="00BB4D29"/>
    <w:rsid w:val="00BB54B7"/>
    <w:rsid w:val="00BB72DF"/>
    <w:rsid w:val="00BC02B7"/>
    <w:rsid w:val="00BC1CC8"/>
    <w:rsid w:val="00BC2D7C"/>
    <w:rsid w:val="00BC4F74"/>
    <w:rsid w:val="00BC5905"/>
    <w:rsid w:val="00BC69BB"/>
    <w:rsid w:val="00BC6B49"/>
    <w:rsid w:val="00BD1BA8"/>
    <w:rsid w:val="00BD30B0"/>
    <w:rsid w:val="00BD3529"/>
    <w:rsid w:val="00BE238E"/>
    <w:rsid w:val="00BE3538"/>
    <w:rsid w:val="00BE4166"/>
    <w:rsid w:val="00BE4EA8"/>
    <w:rsid w:val="00BE56ED"/>
    <w:rsid w:val="00BE722E"/>
    <w:rsid w:val="00BE77A5"/>
    <w:rsid w:val="00BE78E1"/>
    <w:rsid w:val="00BF158F"/>
    <w:rsid w:val="00BF1ABB"/>
    <w:rsid w:val="00BF240D"/>
    <w:rsid w:val="00BF2E71"/>
    <w:rsid w:val="00BF5106"/>
    <w:rsid w:val="00BF5D19"/>
    <w:rsid w:val="00BF5DF9"/>
    <w:rsid w:val="00BF6766"/>
    <w:rsid w:val="00C032E9"/>
    <w:rsid w:val="00C04E50"/>
    <w:rsid w:val="00C053AA"/>
    <w:rsid w:val="00C05572"/>
    <w:rsid w:val="00C05D4D"/>
    <w:rsid w:val="00C05D7F"/>
    <w:rsid w:val="00C0668C"/>
    <w:rsid w:val="00C102A5"/>
    <w:rsid w:val="00C10CA2"/>
    <w:rsid w:val="00C1154C"/>
    <w:rsid w:val="00C11CA8"/>
    <w:rsid w:val="00C131B1"/>
    <w:rsid w:val="00C17443"/>
    <w:rsid w:val="00C176E1"/>
    <w:rsid w:val="00C17B97"/>
    <w:rsid w:val="00C20338"/>
    <w:rsid w:val="00C2114D"/>
    <w:rsid w:val="00C23E05"/>
    <w:rsid w:val="00C24638"/>
    <w:rsid w:val="00C24B34"/>
    <w:rsid w:val="00C24BB1"/>
    <w:rsid w:val="00C259EA"/>
    <w:rsid w:val="00C261DE"/>
    <w:rsid w:val="00C343BD"/>
    <w:rsid w:val="00C3561A"/>
    <w:rsid w:val="00C36676"/>
    <w:rsid w:val="00C36730"/>
    <w:rsid w:val="00C374D4"/>
    <w:rsid w:val="00C4141D"/>
    <w:rsid w:val="00C41FE5"/>
    <w:rsid w:val="00C46721"/>
    <w:rsid w:val="00C46EC8"/>
    <w:rsid w:val="00C52FF7"/>
    <w:rsid w:val="00C53499"/>
    <w:rsid w:val="00C546FF"/>
    <w:rsid w:val="00C54910"/>
    <w:rsid w:val="00C56015"/>
    <w:rsid w:val="00C56178"/>
    <w:rsid w:val="00C56AC2"/>
    <w:rsid w:val="00C56E80"/>
    <w:rsid w:val="00C62796"/>
    <w:rsid w:val="00C63CEE"/>
    <w:rsid w:val="00C65898"/>
    <w:rsid w:val="00C66A84"/>
    <w:rsid w:val="00C66D68"/>
    <w:rsid w:val="00C674B4"/>
    <w:rsid w:val="00C706DB"/>
    <w:rsid w:val="00C72455"/>
    <w:rsid w:val="00C7318D"/>
    <w:rsid w:val="00C7326D"/>
    <w:rsid w:val="00C74392"/>
    <w:rsid w:val="00C74422"/>
    <w:rsid w:val="00C75725"/>
    <w:rsid w:val="00C75948"/>
    <w:rsid w:val="00C76D3F"/>
    <w:rsid w:val="00C7759C"/>
    <w:rsid w:val="00C777C6"/>
    <w:rsid w:val="00C778B7"/>
    <w:rsid w:val="00C8323D"/>
    <w:rsid w:val="00C8337E"/>
    <w:rsid w:val="00C83CDE"/>
    <w:rsid w:val="00C8624C"/>
    <w:rsid w:val="00C92B2B"/>
    <w:rsid w:val="00C932BB"/>
    <w:rsid w:val="00C93F32"/>
    <w:rsid w:val="00C94775"/>
    <w:rsid w:val="00C947A9"/>
    <w:rsid w:val="00C94D3F"/>
    <w:rsid w:val="00C95D73"/>
    <w:rsid w:val="00C95FF9"/>
    <w:rsid w:val="00C9604B"/>
    <w:rsid w:val="00CA3398"/>
    <w:rsid w:val="00CA492E"/>
    <w:rsid w:val="00CA4C09"/>
    <w:rsid w:val="00CA4FA9"/>
    <w:rsid w:val="00CA6DEF"/>
    <w:rsid w:val="00CA78D1"/>
    <w:rsid w:val="00CB003A"/>
    <w:rsid w:val="00CB09A1"/>
    <w:rsid w:val="00CB1281"/>
    <w:rsid w:val="00CB146D"/>
    <w:rsid w:val="00CB428E"/>
    <w:rsid w:val="00CB4302"/>
    <w:rsid w:val="00CB4D1B"/>
    <w:rsid w:val="00CB79A7"/>
    <w:rsid w:val="00CC0471"/>
    <w:rsid w:val="00CC05D9"/>
    <w:rsid w:val="00CC1780"/>
    <w:rsid w:val="00CC4A07"/>
    <w:rsid w:val="00CC700B"/>
    <w:rsid w:val="00CC7A9E"/>
    <w:rsid w:val="00CC7BDF"/>
    <w:rsid w:val="00CD671E"/>
    <w:rsid w:val="00CD7ACC"/>
    <w:rsid w:val="00CE202C"/>
    <w:rsid w:val="00CE4A36"/>
    <w:rsid w:val="00CE5CEA"/>
    <w:rsid w:val="00CE6911"/>
    <w:rsid w:val="00CE7E92"/>
    <w:rsid w:val="00CF1C62"/>
    <w:rsid w:val="00CF416D"/>
    <w:rsid w:val="00CF540D"/>
    <w:rsid w:val="00CF757F"/>
    <w:rsid w:val="00CF7D0F"/>
    <w:rsid w:val="00D0086F"/>
    <w:rsid w:val="00D00B26"/>
    <w:rsid w:val="00D01B22"/>
    <w:rsid w:val="00D0205F"/>
    <w:rsid w:val="00D02682"/>
    <w:rsid w:val="00D0282D"/>
    <w:rsid w:val="00D03E15"/>
    <w:rsid w:val="00D049B5"/>
    <w:rsid w:val="00D0594F"/>
    <w:rsid w:val="00D05FE2"/>
    <w:rsid w:val="00D07DF0"/>
    <w:rsid w:val="00D123EC"/>
    <w:rsid w:val="00D13147"/>
    <w:rsid w:val="00D13F79"/>
    <w:rsid w:val="00D14818"/>
    <w:rsid w:val="00D15111"/>
    <w:rsid w:val="00D167ED"/>
    <w:rsid w:val="00D1691A"/>
    <w:rsid w:val="00D17E01"/>
    <w:rsid w:val="00D20341"/>
    <w:rsid w:val="00D21751"/>
    <w:rsid w:val="00D21F6E"/>
    <w:rsid w:val="00D22CFE"/>
    <w:rsid w:val="00D23A72"/>
    <w:rsid w:val="00D23AB2"/>
    <w:rsid w:val="00D24DDD"/>
    <w:rsid w:val="00D26D59"/>
    <w:rsid w:val="00D27104"/>
    <w:rsid w:val="00D27C8C"/>
    <w:rsid w:val="00D301D2"/>
    <w:rsid w:val="00D304F1"/>
    <w:rsid w:val="00D31237"/>
    <w:rsid w:val="00D316A7"/>
    <w:rsid w:val="00D317B0"/>
    <w:rsid w:val="00D31C1B"/>
    <w:rsid w:val="00D33A1A"/>
    <w:rsid w:val="00D353A8"/>
    <w:rsid w:val="00D37882"/>
    <w:rsid w:val="00D41A53"/>
    <w:rsid w:val="00D42242"/>
    <w:rsid w:val="00D42DBB"/>
    <w:rsid w:val="00D43C5B"/>
    <w:rsid w:val="00D4492D"/>
    <w:rsid w:val="00D45208"/>
    <w:rsid w:val="00D45568"/>
    <w:rsid w:val="00D47529"/>
    <w:rsid w:val="00D5197C"/>
    <w:rsid w:val="00D51C6E"/>
    <w:rsid w:val="00D54789"/>
    <w:rsid w:val="00D5685E"/>
    <w:rsid w:val="00D609E5"/>
    <w:rsid w:val="00D61C4B"/>
    <w:rsid w:val="00D636FC"/>
    <w:rsid w:val="00D651BC"/>
    <w:rsid w:val="00D66971"/>
    <w:rsid w:val="00D67A2A"/>
    <w:rsid w:val="00D708B7"/>
    <w:rsid w:val="00D70E8C"/>
    <w:rsid w:val="00D755A7"/>
    <w:rsid w:val="00D77B37"/>
    <w:rsid w:val="00D80173"/>
    <w:rsid w:val="00D81A05"/>
    <w:rsid w:val="00D81E5D"/>
    <w:rsid w:val="00D823A9"/>
    <w:rsid w:val="00D83FB6"/>
    <w:rsid w:val="00D86FDA"/>
    <w:rsid w:val="00D90217"/>
    <w:rsid w:val="00D91F7D"/>
    <w:rsid w:val="00D95224"/>
    <w:rsid w:val="00D95989"/>
    <w:rsid w:val="00D95CAB"/>
    <w:rsid w:val="00D95DAA"/>
    <w:rsid w:val="00D96C89"/>
    <w:rsid w:val="00D96D91"/>
    <w:rsid w:val="00D97320"/>
    <w:rsid w:val="00DA0B9D"/>
    <w:rsid w:val="00DA0FC6"/>
    <w:rsid w:val="00DA44B1"/>
    <w:rsid w:val="00DA48F4"/>
    <w:rsid w:val="00DA52E8"/>
    <w:rsid w:val="00DA53E5"/>
    <w:rsid w:val="00DA6836"/>
    <w:rsid w:val="00DB1B1E"/>
    <w:rsid w:val="00DB24B4"/>
    <w:rsid w:val="00DB51ED"/>
    <w:rsid w:val="00DB6E1D"/>
    <w:rsid w:val="00DC1C87"/>
    <w:rsid w:val="00DC2A0C"/>
    <w:rsid w:val="00DC54A4"/>
    <w:rsid w:val="00DD1A2E"/>
    <w:rsid w:val="00DD2C65"/>
    <w:rsid w:val="00DD491D"/>
    <w:rsid w:val="00DD4F26"/>
    <w:rsid w:val="00DD7BB6"/>
    <w:rsid w:val="00DE1B38"/>
    <w:rsid w:val="00DE4FE0"/>
    <w:rsid w:val="00DE5012"/>
    <w:rsid w:val="00DE511B"/>
    <w:rsid w:val="00DE591C"/>
    <w:rsid w:val="00DE60A3"/>
    <w:rsid w:val="00DE68E0"/>
    <w:rsid w:val="00DE75A2"/>
    <w:rsid w:val="00DF1EE3"/>
    <w:rsid w:val="00DF20F8"/>
    <w:rsid w:val="00DF274C"/>
    <w:rsid w:val="00DF2BF8"/>
    <w:rsid w:val="00DF3C21"/>
    <w:rsid w:val="00DF5824"/>
    <w:rsid w:val="00DF6487"/>
    <w:rsid w:val="00E00E5A"/>
    <w:rsid w:val="00E0203D"/>
    <w:rsid w:val="00E04FBA"/>
    <w:rsid w:val="00E051B3"/>
    <w:rsid w:val="00E061F3"/>
    <w:rsid w:val="00E102BB"/>
    <w:rsid w:val="00E102ED"/>
    <w:rsid w:val="00E126E0"/>
    <w:rsid w:val="00E12E45"/>
    <w:rsid w:val="00E146FE"/>
    <w:rsid w:val="00E1655E"/>
    <w:rsid w:val="00E17D68"/>
    <w:rsid w:val="00E21DED"/>
    <w:rsid w:val="00E22F11"/>
    <w:rsid w:val="00E24988"/>
    <w:rsid w:val="00E25FA6"/>
    <w:rsid w:val="00E263F2"/>
    <w:rsid w:val="00E27E4C"/>
    <w:rsid w:val="00E301EE"/>
    <w:rsid w:val="00E32EEA"/>
    <w:rsid w:val="00E369D6"/>
    <w:rsid w:val="00E36BE2"/>
    <w:rsid w:val="00E3737B"/>
    <w:rsid w:val="00E3741F"/>
    <w:rsid w:val="00E3755B"/>
    <w:rsid w:val="00E37CC9"/>
    <w:rsid w:val="00E418F5"/>
    <w:rsid w:val="00E43930"/>
    <w:rsid w:val="00E44E3C"/>
    <w:rsid w:val="00E44F91"/>
    <w:rsid w:val="00E454E5"/>
    <w:rsid w:val="00E459C4"/>
    <w:rsid w:val="00E45CD7"/>
    <w:rsid w:val="00E471DD"/>
    <w:rsid w:val="00E4759B"/>
    <w:rsid w:val="00E477D0"/>
    <w:rsid w:val="00E47BF5"/>
    <w:rsid w:val="00E51741"/>
    <w:rsid w:val="00E521F4"/>
    <w:rsid w:val="00E533B8"/>
    <w:rsid w:val="00E544CF"/>
    <w:rsid w:val="00E544DD"/>
    <w:rsid w:val="00E5485A"/>
    <w:rsid w:val="00E568E1"/>
    <w:rsid w:val="00E574FC"/>
    <w:rsid w:val="00E60695"/>
    <w:rsid w:val="00E61043"/>
    <w:rsid w:val="00E61CF3"/>
    <w:rsid w:val="00E61E4D"/>
    <w:rsid w:val="00E6515F"/>
    <w:rsid w:val="00E65AAE"/>
    <w:rsid w:val="00E65BF2"/>
    <w:rsid w:val="00E67D7F"/>
    <w:rsid w:val="00E7158F"/>
    <w:rsid w:val="00E71A82"/>
    <w:rsid w:val="00E73406"/>
    <w:rsid w:val="00E741C2"/>
    <w:rsid w:val="00E74362"/>
    <w:rsid w:val="00E75B91"/>
    <w:rsid w:val="00E7678E"/>
    <w:rsid w:val="00E76BC5"/>
    <w:rsid w:val="00E7781F"/>
    <w:rsid w:val="00E8042C"/>
    <w:rsid w:val="00E824FD"/>
    <w:rsid w:val="00E83879"/>
    <w:rsid w:val="00E8596C"/>
    <w:rsid w:val="00E865C0"/>
    <w:rsid w:val="00E86EFB"/>
    <w:rsid w:val="00E87C2E"/>
    <w:rsid w:val="00E900AF"/>
    <w:rsid w:val="00E91B84"/>
    <w:rsid w:val="00E93334"/>
    <w:rsid w:val="00E9460D"/>
    <w:rsid w:val="00E94FC2"/>
    <w:rsid w:val="00E95C92"/>
    <w:rsid w:val="00E964EE"/>
    <w:rsid w:val="00E96F0A"/>
    <w:rsid w:val="00E97BF6"/>
    <w:rsid w:val="00E97CC8"/>
    <w:rsid w:val="00EA09B5"/>
    <w:rsid w:val="00EA0E87"/>
    <w:rsid w:val="00EA13BC"/>
    <w:rsid w:val="00EA2E8B"/>
    <w:rsid w:val="00EA37A2"/>
    <w:rsid w:val="00EA39DF"/>
    <w:rsid w:val="00EA3C71"/>
    <w:rsid w:val="00EA5DD7"/>
    <w:rsid w:val="00EA6941"/>
    <w:rsid w:val="00EA6B82"/>
    <w:rsid w:val="00EA75F8"/>
    <w:rsid w:val="00EB0134"/>
    <w:rsid w:val="00EB14C9"/>
    <w:rsid w:val="00EB2C5F"/>
    <w:rsid w:val="00EB33E2"/>
    <w:rsid w:val="00EB708F"/>
    <w:rsid w:val="00EC1E91"/>
    <w:rsid w:val="00EC35A0"/>
    <w:rsid w:val="00EC3A18"/>
    <w:rsid w:val="00EC3A27"/>
    <w:rsid w:val="00EC5347"/>
    <w:rsid w:val="00EC54EC"/>
    <w:rsid w:val="00EC55CB"/>
    <w:rsid w:val="00EC5C09"/>
    <w:rsid w:val="00EC60B9"/>
    <w:rsid w:val="00ED073D"/>
    <w:rsid w:val="00ED07ED"/>
    <w:rsid w:val="00ED0B74"/>
    <w:rsid w:val="00ED0CFD"/>
    <w:rsid w:val="00ED26C2"/>
    <w:rsid w:val="00ED2F82"/>
    <w:rsid w:val="00ED5C93"/>
    <w:rsid w:val="00EE2F24"/>
    <w:rsid w:val="00EE55EA"/>
    <w:rsid w:val="00EE59EC"/>
    <w:rsid w:val="00EE6DB9"/>
    <w:rsid w:val="00EE798A"/>
    <w:rsid w:val="00EF0266"/>
    <w:rsid w:val="00EF31C7"/>
    <w:rsid w:val="00EF3AE4"/>
    <w:rsid w:val="00EF448F"/>
    <w:rsid w:val="00EF462D"/>
    <w:rsid w:val="00EF4908"/>
    <w:rsid w:val="00EF4E04"/>
    <w:rsid w:val="00EF537B"/>
    <w:rsid w:val="00EF55D0"/>
    <w:rsid w:val="00EF5B96"/>
    <w:rsid w:val="00EF5F2A"/>
    <w:rsid w:val="00EF67C4"/>
    <w:rsid w:val="00EF7F5F"/>
    <w:rsid w:val="00F00618"/>
    <w:rsid w:val="00F009A2"/>
    <w:rsid w:val="00F01685"/>
    <w:rsid w:val="00F01ED5"/>
    <w:rsid w:val="00F048A4"/>
    <w:rsid w:val="00F1028E"/>
    <w:rsid w:val="00F11576"/>
    <w:rsid w:val="00F115AA"/>
    <w:rsid w:val="00F117D2"/>
    <w:rsid w:val="00F12570"/>
    <w:rsid w:val="00F12A92"/>
    <w:rsid w:val="00F12BB1"/>
    <w:rsid w:val="00F12BCE"/>
    <w:rsid w:val="00F1611D"/>
    <w:rsid w:val="00F16B41"/>
    <w:rsid w:val="00F17250"/>
    <w:rsid w:val="00F17700"/>
    <w:rsid w:val="00F17CAF"/>
    <w:rsid w:val="00F20E79"/>
    <w:rsid w:val="00F22C58"/>
    <w:rsid w:val="00F23FEF"/>
    <w:rsid w:val="00F2429D"/>
    <w:rsid w:val="00F245C8"/>
    <w:rsid w:val="00F275D7"/>
    <w:rsid w:val="00F320EE"/>
    <w:rsid w:val="00F33584"/>
    <w:rsid w:val="00F33B5B"/>
    <w:rsid w:val="00F35051"/>
    <w:rsid w:val="00F36DEA"/>
    <w:rsid w:val="00F373C7"/>
    <w:rsid w:val="00F4050E"/>
    <w:rsid w:val="00F4071A"/>
    <w:rsid w:val="00F416C6"/>
    <w:rsid w:val="00F4406F"/>
    <w:rsid w:val="00F441E1"/>
    <w:rsid w:val="00F47826"/>
    <w:rsid w:val="00F51B22"/>
    <w:rsid w:val="00F51E7F"/>
    <w:rsid w:val="00F53C1D"/>
    <w:rsid w:val="00F56646"/>
    <w:rsid w:val="00F57AF9"/>
    <w:rsid w:val="00F61E47"/>
    <w:rsid w:val="00F61E7A"/>
    <w:rsid w:val="00F6436F"/>
    <w:rsid w:val="00F6596E"/>
    <w:rsid w:val="00F6679F"/>
    <w:rsid w:val="00F67CAA"/>
    <w:rsid w:val="00F67F18"/>
    <w:rsid w:val="00F71D6C"/>
    <w:rsid w:val="00F72E1D"/>
    <w:rsid w:val="00F72F47"/>
    <w:rsid w:val="00F74BF8"/>
    <w:rsid w:val="00F75017"/>
    <w:rsid w:val="00F7613E"/>
    <w:rsid w:val="00F80CA0"/>
    <w:rsid w:val="00F82796"/>
    <w:rsid w:val="00F83A61"/>
    <w:rsid w:val="00F8448B"/>
    <w:rsid w:val="00F849FE"/>
    <w:rsid w:val="00F86243"/>
    <w:rsid w:val="00F87942"/>
    <w:rsid w:val="00F938CC"/>
    <w:rsid w:val="00F948AD"/>
    <w:rsid w:val="00F95827"/>
    <w:rsid w:val="00F972F9"/>
    <w:rsid w:val="00F97B45"/>
    <w:rsid w:val="00FA028D"/>
    <w:rsid w:val="00FA1D06"/>
    <w:rsid w:val="00FA2A85"/>
    <w:rsid w:val="00FA4086"/>
    <w:rsid w:val="00FA68F1"/>
    <w:rsid w:val="00FA6B98"/>
    <w:rsid w:val="00FA7405"/>
    <w:rsid w:val="00FB028A"/>
    <w:rsid w:val="00FB0D31"/>
    <w:rsid w:val="00FB3D25"/>
    <w:rsid w:val="00FB3E48"/>
    <w:rsid w:val="00FB41F7"/>
    <w:rsid w:val="00FC01D2"/>
    <w:rsid w:val="00FC183E"/>
    <w:rsid w:val="00FC1B73"/>
    <w:rsid w:val="00FC3450"/>
    <w:rsid w:val="00FC4E8E"/>
    <w:rsid w:val="00FC512E"/>
    <w:rsid w:val="00FC7166"/>
    <w:rsid w:val="00FD1399"/>
    <w:rsid w:val="00FD146A"/>
    <w:rsid w:val="00FD1DDA"/>
    <w:rsid w:val="00FD22E1"/>
    <w:rsid w:val="00FD47E8"/>
    <w:rsid w:val="00FD4B4C"/>
    <w:rsid w:val="00FD4BFE"/>
    <w:rsid w:val="00FE09E6"/>
    <w:rsid w:val="00FE277E"/>
    <w:rsid w:val="00FE3259"/>
    <w:rsid w:val="00FE38BE"/>
    <w:rsid w:val="00FE63F6"/>
    <w:rsid w:val="00FE681D"/>
    <w:rsid w:val="00FE7278"/>
    <w:rsid w:val="00FE7C89"/>
    <w:rsid w:val="00FF0B9F"/>
    <w:rsid w:val="00FF1389"/>
    <w:rsid w:val="00FF4296"/>
    <w:rsid w:val="00FF4DD0"/>
    <w:rsid w:val="00FF5852"/>
    <w:rsid w:val="00FF59C8"/>
    <w:rsid w:val="00FF67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92ABF"/>
  <w15:docId w15:val="{105AC535-9043-4458-92CC-1D492CC5D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902A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42312"/>
    <w:pPr>
      <w:spacing w:after="0" w:line="240" w:lineRule="auto"/>
      <w:ind w:left="720"/>
      <w:contextualSpacing/>
    </w:pPr>
    <w:rPr>
      <w:rFonts w:ascii="Calibri" w:hAnsi="Calibri" w:cs="Calibri"/>
      <w:lang w:eastAsia="it-IT"/>
    </w:rPr>
  </w:style>
  <w:style w:type="character" w:styleId="Rimandocommento">
    <w:name w:val="annotation reference"/>
    <w:basedOn w:val="Carpredefinitoparagrafo"/>
    <w:uiPriority w:val="99"/>
    <w:semiHidden/>
    <w:unhideWhenUsed/>
    <w:rsid w:val="00B97AE8"/>
    <w:rPr>
      <w:sz w:val="16"/>
      <w:szCs w:val="16"/>
    </w:rPr>
  </w:style>
  <w:style w:type="paragraph" w:styleId="Testocommento">
    <w:name w:val="annotation text"/>
    <w:basedOn w:val="Normale"/>
    <w:link w:val="TestocommentoCarattere"/>
    <w:uiPriority w:val="99"/>
    <w:unhideWhenUsed/>
    <w:rsid w:val="00B97AE8"/>
    <w:pPr>
      <w:spacing w:line="240" w:lineRule="auto"/>
    </w:pPr>
    <w:rPr>
      <w:sz w:val="20"/>
      <w:szCs w:val="20"/>
    </w:rPr>
  </w:style>
  <w:style w:type="character" w:customStyle="1" w:styleId="TestocommentoCarattere">
    <w:name w:val="Testo commento Carattere"/>
    <w:basedOn w:val="Carpredefinitoparagrafo"/>
    <w:link w:val="Testocommento"/>
    <w:uiPriority w:val="99"/>
    <w:rsid w:val="00B97AE8"/>
    <w:rPr>
      <w:sz w:val="20"/>
      <w:szCs w:val="20"/>
    </w:rPr>
  </w:style>
  <w:style w:type="paragraph" w:styleId="Soggettocommento">
    <w:name w:val="annotation subject"/>
    <w:basedOn w:val="Testocommento"/>
    <w:next w:val="Testocommento"/>
    <w:link w:val="SoggettocommentoCarattere"/>
    <w:uiPriority w:val="99"/>
    <w:semiHidden/>
    <w:unhideWhenUsed/>
    <w:rsid w:val="00B97AE8"/>
    <w:rPr>
      <w:b/>
      <w:bCs/>
    </w:rPr>
  </w:style>
  <w:style w:type="character" w:customStyle="1" w:styleId="SoggettocommentoCarattere">
    <w:name w:val="Soggetto commento Carattere"/>
    <w:basedOn w:val="TestocommentoCarattere"/>
    <w:link w:val="Soggettocommento"/>
    <w:uiPriority w:val="99"/>
    <w:semiHidden/>
    <w:rsid w:val="00B97AE8"/>
    <w:rPr>
      <w:b/>
      <w:bCs/>
      <w:sz w:val="20"/>
      <w:szCs w:val="20"/>
    </w:rPr>
  </w:style>
  <w:style w:type="paragraph" w:styleId="Testofumetto">
    <w:name w:val="Balloon Text"/>
    <w:basedOn w:val="Normale"/>
    <w:link w:val="TestofumettoCarattere"/>
    <w:uiPriority w:val="99"/>
    <w:semiHidden/>
    <w:unhideWhenUsed/>
    <w:rsid w:val="00B97AE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7AE8"/>
    <w:rPr>
      <w:rFonts w:ascii="Tahoma" w:hAnsi="Tahoma" w:cs="Tahoma"/>
      <w:sz w:val="16"/>
      <w:szCs w:val="16"/>
    </w:rPr>
  </w:style>
  <w:style w:type="paragraph" w:styleId="Revisione">
    <w:name w:val="Revision"/>
    <w:hidden/>
    <w:uiPriority w:val="99"/>
    <w:semiHidden/>
    <w:rsid w:val="00501793"/>
    <w:pPr>
      <w:spacing w:after="0" w:line="240" w:lineRule="auto"/>
    </w:pPr>
  </w:style>
  <w:style w:type="character" w:styleId="Collegamentoipertestuale">
    <w:name w:val="Hyperlink"/>
    <w:basedOn w:val="Carpredefinitoparagrafo"/>
    <w:uiPriority w:val="99"/>
    <w:unhideWhenUsed/>
    <w:rsid w:val="00E544CF"/>
    <w:rPr>
      <w:color w:val="0000FF" w:themeColor="hyperlink"/>
      <w:u w:val="single"/>
    </w:rPr>
  </w:style>
  <w:style w:type="paragraph" w:customStyle="1" w:styleId="Paragrafobase">
    <w:name w:val="[Paragrafo base]"/>
    <w:basedOn w:val="Normale"/>
    <w:uiPriority w:val="99"/>
    <w:rsid w:val="001C51E2"/>
    <w:pPr>
      <w:autoSpaceDE w:val="0"/>
      <w:autoSpaceDN w:val="0"/>
      <w:adjustRightInd w:val="0"/>
      <w:spacing w:after="0" w:line="240" w:lineRule="atLeast"/>
      <w:textAlignment w:val="center"/>
    </w:pPr>
    <w:rPr>
      <w:rFonts w:ascii="Calibri" w:hAnsi="Calibri" w:cs="Calibri"/>
      <w:color w:val="000000"/>
      <w:sz w:val="20"/>
      <w:szCs w:val="20"/>
    </w:rPr>
  </w:style>
  <w:style w:type="character" w:styleId="Enfasicorsivo">
    <w:name w:val="Emphasis"/>
    <w:basedOn w:val="Carpredefinitoparagrafo"/>
    <w:uiPriority w:val="20"/>
    <w:qFormat/>
    <w:rsid w:val="006805A5"/>
    <w:rPr>
      <w:i/>
      <w:iCs/>
    </w:rPr>
  </w:style>
  <w:style w:type="table" w:styleId="Grigliatabella">
    <w:name w:val="Table Grid"/>
    <w:basedOn w:val="Tabellanormale"/>
    <w:rsid w:val="00620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rsid w:val="0083539A"/>
    <w:pPr>
      <w:spacing w:after="0" w:line="360" w:lineRule="auto"/>
      <w:jc w:val="both"/>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C176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176E1"/>
  </w:style>
  <w:style w:type="paragraph" w:styleId="Pidipagina">
    <w:name w:val="footer"/>
    <w:basedOn w:val="Normale"/>
    <w:link w:val="PidipaginaCarattere"/>
    <w:uiPriority w:val="99"/>
    <w:unhideWhenUsed/>
    <w:rsid w:val="00C176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176E1"/>
  </w:style>
  <w:style w:type="character" w:styleId="Enfasigrassetto">
    <w:name w:val="Strong"/>
    <w:basedOn w:val="Carpredefinitoparagrafo"/>
    <w:uiPriority w:val="22"/>
    <w:qFormat/>
    <w:rsid w:val="003E6FC3"/>
    <w:rPr>
      <w:b/>
      <w:bCs/>
    </w:rPr>
  </w:style>
  <w:style w:type="paragraph" w:styleId="Testonotaapidipagina">
    <w:name w:val="footnote text"/>
    <w:basedOn w:val="Normale"/>
    <w:link w:val="TestonotaapidipaginaCarattere"/>
    <w:uiPriority w:val="99"/>
    <w:semiHidden/>
    <w:unhideWhenUsed/>
    <w:rsid w:val="00D43C5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43C5B"/>
    <w:rPr>
      <w:sz w:val="20"/>
      <w:szCs w:val="20"/>
    </w:rPr>
  </w:style>
  <w:style w:type="character" w:styleId="Rimandonotaapidipagina">
    <w:name w:val="footnote reference"/>
    <w:basedOn w:val="Carpredefinitoparagrafo"/>
    <w:uiPriority w:val="99"/>
    <w:semiHidden/>
    <w:unhideWhenUsed/>
    <w:rsid w:val="00D43C5B"/>
    <w:rPr>
      <w:vertAlign w:val="superscript"/>
    </w:rPr>
  </w:style>
  <w:style w:type="character" w:customStyle="1" w:styleId="Menzionenonrisolta1">
    <w:name w:val="Menzione non risolta1"/>
    <w:basedOn w:val="Carpredefinitoparagrafo"/>
    <w:uiPriority w:val="99"/>
    <w:semiHidden/>
    <w:unhideWhenUsed/>
    <w:rsid w:val="002D7BE4"/>
    <w:rPr>
      <w:color w:val="605E5C"/>
      <w:shd w:val="clear" w:color="auto" w:fill="E1DFDD"/>
    </w:rPr>
  </w:style>
  <w:style w:type="character" w:customStyle="1" w:styleId="Menzionenonrisolta2">
    <w:name w:val="Menzione non risolta2"/>
    <w:basedOn w:val="Carpredefinitoparagrafo"/>
    <w:uiPriority w:val="99"/>
    <w:semiHidden/>
    <w:unhideWhenUsed/>
    <w:rsid w:val="00E533B8"/>
    <w:rPr>
      <w:color w:val="605E5C"/>
      <w:shd w:val="clear" w:color="auto" w:fill="E1DFDD"/>
    </w:rPr>
  </w:style>
  <w:style w:type="character" w:styleId="Collegamentovisitato">
    <w:name w:val="FollowedHyperlink"/>
    <w:basedOn w:val="Carpredefinitoparagrafo"/>
    <w:uiPriority w:val="99"/>
    <w:semiHidden/>
    <w:unhideWhenUsed/>
    <w:rsid w:val="00E533B8"/>
    <w:rPr>
      <w:color w:val="800080" w:themeColor="followedHyperlink"/>
      <w:u w:val="single"/>
    </w:rPr>
  </w:style>
  <w:style w:type="character" w:customStyle="1" w:styleId="Menzionenonrisolta3">
    <w:name w:val="Menzione non risolta3"/>
    <w:basedOn w:val="Carpredefinitoparagrafo"/>
    <w:uiPriority w:val="99"/>
    <w:semiHidden/>
    <w:unhideWhenUsed/>
    <w:rsid w:val="00631513"/>
    <w:rPr>
      <w:color w:val="605E5C"/>
      <w:shd w:val="clear" w:color="auto" w:fill="E1DFDD"/>
    </w:rPr>
  </w:style>
  <w:style w:type="character" w:customStyle="1" w:styleId="Menzionenonrisolta4">
    <w:name w:val="Menzione non risolta4"/>
    <w:basedOn w:val="Carpredefinitoparagrafo"/>
    <w:uiPriority w:val="99"/>
    <w:semiHidden/>
    <w:unhideWhenUsed/>
    <w:rsid w:val="0092558B"/>
    <w:rPr>
      <w:color w:val="605E5C"/>
      <w:shd w:val="clear" w:color="auto" w:fill="E1DFDD"/>
    </w:rPr>
  </w:style>
  <w:style w:type="character" w:customStyle="1" w:styleId="Menzionenonrisolta5">
    <w:name w:val="Menzione non risolta5"/>
    <w:basedOn w:val="Carpredefinitoparagrafo"/>
    <w:uiPriority w:val="99"/>
    <w:semiHidden/>
    <w:unhideWhenUsed/>
    <w:rsid w:val="00E521F4"/>
    <w:rPr>
      <w:color w:val="605E5C"/>
      <w:shd w:val="clear" w:color="auto" w:fill="E1DFDD"/>
    </w:rPr>
  </w:style>
  <w:style w:type="character" w:customStyle="1" w:styleId="ui-provider">
    <w:name w:val="ui-provider"/>
    <w:basedOn w:val="Carpredefinitoparagrafo"/>
    <w:rsid w:val="007F01D1"/>
  </w:style>
  <w:style w:type="character" w:customStyle="1" w:styleId="UnresolvedMention">
    <w:name w:val="Unresolved Mention"/>
    <w:basedOn w:val="Carpredefinitoparagrafo"/>
    <w:uiPriority w:val="99"/>
    <w:semiHidden/>
    <w:unhideWhenUsed/>
    <w:rsid w:val="001932CB"/>
    <w:rPr>
      <w:color w:val="605E5C"/>
      <w:shd w:val="clear" w:color="auto" w:fill="E1DFDD"/>
    </w:rPr>
  </w:style>
  <w:style w:type="paragraph" w:styleId="NormaleWeb">
    <w:name w:val="Normal (Web)"/>
    <w:basedOn w:val="Normale"/>
    <w:uiPriority w:val="99"/>
    <w:semiHidden/>
    <w:unhideWhenUsed/>
    <w:rsid w:val="00F53C1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iziomodulo-z">
    <w:name w:val="HTML Top of Form"/>
    <w:basedOn w:val="Normale"/>
    <w:next w:val="Normale"/>
    <w:link w:val="Iniziomodulo-zCarattere"/>
    <w:hidden/>
    <w:uiPriority w:val="99"/>
    <w:semiHidden/>
    <w:unhideWhenUsed/>
    <w:rsid w:val="00F53C1D"/>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F53C1D"/>
    <w:rPr>
      <w:rFonts w:ascii="Arial" w:eastAsia="Times New Roman" w:hAnsi="Arial" w:cs="Arial"/>
      <w:vanish/>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39774">
      <w:bodyDiv w:val="1"/>
      <w:marLeft w:val="0"/>
      <w:marRight w:val="0"/>
      <w:marTop w:val="0"/>
      <w:marBottom w:val="0"/>
      <w:divBdr>
        <w:top w:val="none" w:sz="0" w:space="0" w:color="auto"/>
        <w:left w:val="none" w:sz="0" w:space="0" w:color="auto"/>
        <w:bottom w:val="none" w:sz="0" w:space="0" w:color="auto"/>
        <w:right w:val="none" w:sz="0" w:space="0" w:color="auto"/>
      </w:divBdr>
    </w:div>
    <w:div w:id="133916482">
      <w:bodyDiv w:val="1"/>
      <w:marLeft w:val="0"/>
      <w:marRight w:val="0"/>
      <w:marTop w:val="0"/>
      <w:marBottom w:val="0"/>
      <w:divBdr>
        <w:top w:val="none" w:sz="0" w:space="0" w:color="auto"/>
        <w:left w:val="none" w:sz="0" w:space="0" w:color="auto"/>
        <w:bottom w:val="none" w:sz="0" w:space="0" w:color="auto"/>
        <w:right w:val="none" w:sz="0" w:space="0" w:color="auto"/>
      </w:divBdr>
      <w:divsChild>
        <w:div w:id="2083989698">
          <w:marLeft w:val="0"/>
          <w:marRight w:val="0"/>
          <w:marTop w:val="0"/>
          <w:marBottom w:val="0"/>
          <w:divBdr>
            <w:top w:val="single" w:sz="2" w:space="0" w:color="E3E3E3"/>
            <w:left w:val="single" w:sz="2" w:space="0" w:color="E3E3E3"/>
            <w:bottom w:val="single" w:sz="2" w:space="0" w:color="E3E3E3"/>
            <w:right w:val="single" w:sz="2" w:space="0" w:color="E3E3E3"/>
          </w:divBdr>
          <w:divsChild>
            <w:div w:id="1621914989">
              <w:marLeft w:val="0"/>
              <w:marRight w:val="0"/>
              <w:marTop w:val="0"/>
              <w:marBottom w:val="0"/>
              <w:divBdr>
                <w:top w:val="single" w:sz="2" w:space="0" w:color="E3E3E3"/>
                <w:left w:val="single" w:sz="2" w:space="0" w:color="E3E3E3"/>
                <w:bottom w:val="single" w:sz="2" w:space="0" w:color="E3E3E3"/>
                <w:right w:val="single" w:sz="2" w:space="0" w:color="E3E3E3"/>
              </w:divBdr>
              <w:divsChild>
                <w:div w:id="1452238057">
                  <w:marLeft w:val="0"/>
                  <w:marRight w:val="0"/>
                  <w:marTop w:val="0"/>
                  <w:marBottom w:val="0"/>
                  <w:divBdr>
                    <w:top w:val="single" w:sz="2" w:space="0" w:color="E3E3E3"/>
                    <w:left w:val="single" w:sz="2" w:space="0" w:color="E3E3E3"/>
                    <w:bottom w:val="single" w:sz="2" w:space="0" w:color="E3E3E3"/>
                    <w:right w:val="single" w:sz="2" w:space="0" w:color="E3E3E3"/>
                  </w:divBdr>
                  <w:divsChild>
                    <w:div w:id="1323923333">
                      <w:marLeft w:val="0"/>
                      <w:marRight w:val="0"/>
                      <w:marTop w:val="0"/>
                      <w:marBottom w:val="0"/>
                      <w:divBdr>
                        <w:top w:val="single" w:sz="2" w:space="0" w:color="E3E3E3"/>
                        <w:left w:val="single" w:sz="2" w:space="0" w:color="E3E3E3"/>
                        <w:bottom w:val="single" w:sz="2" w:space="0" w:color="E3E3E3"/>
                        <w:right w:val="single" w:sz="2" w:space="0" w:color="E3E3E3"/>
                      </w:divBdr>
                      <w:divsChild>
                        <w:div w:id="1223713401">
                          <w:marLeft w:val="0"/>
                          <w:marRight w:val="0"/>
                          <w:marTop w:val="0"/>
                          <w:marBottom w:val="0"/>
                          <w:divBdr>
                            <w:top w:val="single" w:sz="2" w:space="0" w:color="E3E3E3"/>
                            <w:left w:val="single" w:sz="2" w:space="0" w:color="E3E3E3"/>
                            <w:bottom w:val="single" w:sz="2" w:space="0" w:color="E3E3E3"/>
                            <w:right w:val="single" w:sz="2" w:space="0" w:color="E3E3E3"/>
                          </w:divBdr>
                          <w:divsChild>
                            <w:div w:id="1455978930">
                              <w:marLeft w:val="0"/>
                              <w:marRight w:val="0"/>
                              <w:marTop w:val="100"/>
                              <w:marBottom w:val="100"/>
                              <w:divBdr>
                                <w:top w:val="single" w:sz="2" w:space="0" w:color="E3E3E3"/>
                                <w:left w:val="single" w:sz="2" w:space="0" w:color="E3E3E3"/>
                                <w:bottom w:val="single" w:sz="2" w:space="0" w:color="E3E3E3"/>
                                <w:right w:val="single" w:sz="2" w:space="0" w:color="E3E3E3"/>
                              </w:divBdr>
                              <w:divsChild>
                                <w:div w:id="1513958392">
                                  <w:marLeft w:val="0"/>
                                  <w:marRight w:val="0"/>
                                  <w:marTop w:val="0"/>
                                  <w:marBottom w:val="0"/>
                                  <w:divBdr>
                                    <w:top w:val="single" w:sz="2" w:space="0" w:color="E3E3E3"/>
                                    <w:left w:val="single" w:sz="2" w:space="0" w:color="E3E3E3"/>
                                    <w:bottom w:val="single" w:sz="2" w:space="0" w:color="E3E3E3"/>
                                    <w:right w:val="single" w:sz="2" w:space="0" w:color="E3E3E3"/>
                                  </w:divBdr>
                                  <w:divsChild>
                                    <w:div w:id="1565673963">
                                      <w:marLeft w:val="0"/>
                                      <w:marRight w:val="0"/>
                                      <w:marTop w:val="0"/>
                                      <w:marBottom w:val="0"/>
                                      <w:divBdr>
                                        <w:top w:val="single" w:sz="2" w:space="0" w:color="E3E3E3"/>
                                        <w:left w:val="single" w:sz="2" w:space="0" w:color="E3E3E3"/>
                                        <w:bottom w:val="single" w:sz="2" w:space="0" w:color="E3E3E3"/>
                                        <w:right w:val="single" w:sz="2" w:space="0" w:color="E3E3E3"/>
                                      </w:divBdr>
                                      <w:divsChild>
                                        <w:div w:id="967590772">
                                          <w:marLeft w:val="0"/>
                                          <w:marRight w:val="0"/>
                                          <w:marTop w:val="0"/>
                                          <w:marBottom w:val="0"/>
                                          <w:divBdr>
                                            <w:top w:val="single" w:sz="2" w:space="0" w:color="E3E3E3"/>
                                            <w:left w:val="single" w:sz="2" w:space="0" w:color="E3E3E3"/>
                                            <w:bottom w:val="single" w:sz="2" w:space="0" w:color="E3E3E3"/>
                                            <w:right w:val="single" w:sz="2" w:space="0" w:color="E3E3E3"/>
                                          </w:divBdr>
                                          <w:divsChild>
                                            <w:div w:id="1381052975">
                                              <w:marLeft w:val="0"/>
                                              <w:marRight w:val="0"/>
                                              <w:marTop w:val="0"/>
                                              <w:marBottom w:val="0"/>
                                              <w:divBdr>
                                                <w:top w:val="single" w:sz="2" w:space="0" w:color="E3E3E3"/>
                                                <w:left w:val="single" w:sz="2" w:space="0" w:color="E3E3E3"/>
                                                <w:bottom w:val="single" w:sz="2" w:space="0" w:color="E3E3E3"/>
                                                <w:right w:val="single" w:sz="2" w:space="0" w:color="E3E3E3"/>
                                              </w:divBdr>
                                              <w:divsChild>
                                                <w:div w:id="837577567">
                                                  <w:marLeft w:val="0"/>
                                                  <w:marRight w:val="0"/>
                                                  <w:marTop w:val="0"/>
                                                  <w:marBottom w:val="0"/>
                                                  <w:divBdr>
                                                    <w:top w:val="single" w:sz="2" w:space="0" w:color="E3E3E3"/>
                                                    <w:left w:val="single" w:sz="2" w:space="0" w:color="E3E3E3"/>
                                                    <w:bottom w:val="single" w:sz="2" w:space="0" w:color="E3E3E3"/>
                                                    <w:right w:val="single" w:sz="2" w:space="0" w:color="E3E3E3"/>
                                                  </w:divBdr>
                                                  <w:divsChild>
                                                    <w:div w:id="3897703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804617385">
          <w:marLeft w:val="0"/>
          <w:marRight w:val="0"/>
          <w:marTop w:val="0"/>
          <w:marBottom w:val="0"/>
          <w:divBdr>
            <w:top w:val="none" w:sz="0" w:space="0" w:color="auto"/>
            <w:left w:val="none" w:sz="0" w:space="0" w:color="auto"/>
            <w:bottom w:val="none" w:sz="0" w:space="0" w:color="auto"/>
            <w:right w:val="none" w:sz="0" w:space="0" w:color="auto"/>
          </w:divBdr>
        </w:div>
      </w:divsChild>
    </w:div>
    <w:div w:id="446245095">
      <w:bodyDiv w:val="1"/>
      <w:marLeft w:val="0"/>
      <w:marRight w:val="0"/>
      <w:marTop w:val="0"/>
      <w:marBottom w:val="0"/>
      <w:divBdr>
        <w:top w:val="none" w:sz="0" w:space="0" w:color="auto"/>
        <w:left w:val="none" w:sz="0" w:space="0" w:color="auto"/>
        <w:bottom w:val="none" w:sz="0" w:space="0" w:color="auto"/>
        <w:right w:val="none" w:sz="0" w:space="0" w:color="auto"/>
      </w:divBdr>
    </w:div>
    <w:div w:id="577636309">
      <w:bodyDiv w:val="1"/>
      <w:marLeft w:val="0"/>
      <w:marRight w:val="0"/>
      <w:marTop w:val="0"/>
      <w:marBottom w:val="0"/>
      <w:divBdr>
        <w:top w:val="none" w:sz="0" w:space="0" w:color="auto"/>
        <w:left w:val="none" w:sz="0" w:space="0" w:color="auto"/>
        <w:bottom w:val="none" w:sz="0" w:space="0" w:color="auto"/>
        <w:right w:val="none" w:sz="0" w:space="0" w:color="auto"/>
      </w:divBdr>
    </w:div>
    <w:div w:id="631130135">
      <w:bodyDiv w:val="1"/>
      <w:marLeft w:val="0"/>
      <w:marRight w:val="0"/>
      <w:marTop w:val="0"/>
      <w:marBottom w:val="0"/>
      <w:divBdr>
        <w:top w:val="none" w:sz="0" w:space="0" w:color="auto"/>
        <w:left w:val="none" w:sz="0" w:space="0" w:color="auto"/>
        <w:bottom w:val="none" w:sz="0" w:space="0" w:color="auto"/>
        <w:right w:val="none" w:sz="0" w:space="0" w:color="auto"/>
      </w:divBdr>
    </w:div>
    <w:div w:id="779570525">
      <w:bodyDiv w:val="1"/>
      <w:marLeft w:val="0"/>
      <w:marRight w:val="0"/>
      <w:marTop w:val="0"/>
      <w:marBottom w:val="0"/>
      <w:divBdr>
        <w:top w:val="none" w:sz="0" w:space="0" w:color="auto"/>
        <w:left w:val="none" w:sz="0" w:space="0" w:color="auto"/>
        <w:bottom w:val="none" w:sz="0" w:space="0" w:color="auto"/>
        <w:right w:val="none" w:sz="0" w:space="0" w:color="auto"/>
      </w:divBdr>
    </w:div>
    <w:div w:id="836312131">
      <w:bodyDiv w:val="1"/>
      <w:marLeft w:val="0"/>
      <w:marRight w:val="0"/>
      <w:marTop w:val="0"/>
      <w:marBottom w:val="0"/>
      <w:divBdr>
        <w:top w:val="none" w:sz="0" w:space="0" w:color="auto"/>
        <w:left w:val="none" w:sz="0" w:space="0" w:color="auto"/>
        <w:bottom w:val="none" w:sz="0" w:space="0" w:color="auto"/>
        <w:right w:val="none" w:sz="0" w:space="0" w:color="auto"/>
      </w:divBdr>
    </w:div>
    <w:div w:id="886139636">
      <w:bodyDiv w:val="1"/>
      <w:marLeft w:val="0"/>
      <w:marRight w:val="0"/>
      <w:marTop w:val="0"/>
      <w:marBottom w:val="0"/>
      <w:divBdr>
        <w:top w:val="none" w:sz="0" w:space="0" w:color="auto"/>
        <w:left w:val="none" w:sz="0" w:space="0" w:color="auto"/>
        <w:bottom w:val="none" w:sz="0" w:space="0" w:color="auto"/>
        <w:right w:val="none" w:sz="0" w:space="0" w:color="auto"/>
      </w:divBdr>
    </w:div>
    <w:div w:id="1137601618">
      <w:bodyDiv w:val="1"/>
      <w:marLeft w:val="0"/>
      <w:marRight w:val="0"/>
      <w:marTop w:val="0"/>
      <w:marBottom w:val="0"/>
      <w:divBdr>
        <w:top w:val="none" w:sz="0" w:space="0" w:color="auto"/>
        <w:left w:val="none" w:sz="0" w:space="0" w:color="auto"/>
        <w:bottom w:val="none" w:sz="0" w:space="0" w:color="auto"/>
        <w:right w:val="none" w:sz="0" w:space="0" w:color="auto"/>
      </w:divBdr>
      <w:divsChild>
        <w:div w:id="349063361">
          <w:marLeft w:val="0"/>
          <w:marRight w:val="0"/>
          <w:marTop w:val="0"/>
          <w:marBottom w:val="0"/>
          <w:divBdr>
            <w:top w:val="none" w:sz="0" w:space="0" w:color="auto"/>
            <w:left w:val="none" w:sz="0" w:space="0" w:color="auto"/>
            <w:bottom w:val="none" w:sz="0" w:space="0" w:color="auto"/>
            <w:right w:val="none" w:sz="0" w:space="0" w:color="auto"/>
          </w:divBdr>
          <w:divsChild>
            <w:div w:id="1614824016">
              <w:marLeft w:val="0"/>
              <w:marRight w:val="0"/>
              <w:marTop w:val="0"/>
              <w:marBottom w:val="0"/>
              <w:divBdr>
                <w:top w:val="none" w:sz="0" w:space="0" w:color="auto"/>
                <w:left w:val="none" w:sz="0" w:space="0" w:color="auto"/>
                <w:bottom w:val="none" w:sz="0" w:space="0" w:color="auto"/>
                <w:right w:val="none" w:sz="0" w:space="0" w:color="auto"/>
              </w:divBdr>
              <w:divsChild>
                <w:div w:id="1348629791">
                  <w:marLeft w:val="0"/>
                  <w:marRight w:val="0"/>
                  <w:marTop w:val="0"/>
                  <w:marBottom w:val="0"/>
                  <w:divBdr>
                    <w:top w:val="none" w:sz="0" w:space="0" w:color="auto"/>
                    <w:left w:val="none" w:sz="0" w:space="0" w:color="auto"/>
                    <w:bottom w:val="none" w:sz="0" w:space="0" w:color="auto"/>
                    <w:right w:val="none" w:sz="0" w:space="0" w:color="auto"/>
                  </w:divBdr>
                  <w:divsChild>
                    <w:div w:id="833763180">
                      <w:marLeft w:val="0"/>
                      <w:marRight w:val="0"/>
                      <w:marTop w:val="0"/>
                      <w:marBottom w:val="0"/>
                      <w:divBdr>
                        <w:top w:val="none" w:sz="0" w:space="0" w:color="auto"/>
                        <w:left w:val="none" w:sz="0" w:space="0" w:color="auto"/>
                        <w:bottom w:val="none" w:sz="0" w:space="0" w:color="auto"/>
                        <w:right w:val="none" w:sz="0" w:space="0" w:color="auto"/>
                      </w:divBdr>
                      <w:divsChild>
                        <w:div w:id="81920195">
                          <w:marLeft w:val="-15"/>
                          <w:marRight w:val="0"/>
                          <w:marTop w:val="0"/>
                          <w:marBottom w:val="0"/>
                          <w:divBdr>
                            <w:top w:val="none" w:sz="0" w:space="0" w:color="auto"/>
                            <w:left w:val="none" w:sz="0" w:space="0" w:color="auto"/>
                            <w:bottom w:val="none" w:sz="0" w:space="0" w:color="auto"/>
                            <w:right w:val="none" w:sz="0" w:space="0" w:color="auto"/>
                          </w:divBdr>
                          <w:divsChild>
                            <w:div w:id="2004773859">
                              <w:marLeft w:val="0"/>
                              <w:marRight w:val="0"/>
                              <w:marTop w:val="0"/>
                              <w:marBottom w:val="0"/>
                              <w:divBdr>
                                <w:top w:val="none" w:sz="0" w:space="0" w:color="auto"/>
                                <w:left w:val="none" w:sz="0" w:space="0" w:color="auto"/>
                                <w:bottom w:val="none" w:sz="0" w:space="0" w:color="auto"/>
                                <w:right w:val="none" w:sz="0" w:space="0" w:color="auto"/>
                              </w:divBdr>
                              <w:divsChild>
                                <w:div w:id="1649166738">
                                  <w:marLeft w:val="0"/>
                                  <w:marRight w:val="-15"/>
                                  <w:marTop w:val="0"/>
                                  <w:marBottom w:val="0"/>
                                  <w:divBdr>
                                    <w:top w:val="none" w:sz="0" w:space="0" w:color="auto"/>
                                    <w:left w:val="none" w:sz="0" w:space="0" w:color="auto"/>
                                    <w:bottom w:val="none" w:sz="0" w:space="0" w:color="auto"/>
                                    <w:right w:val="none" w:sz="0" w:space="0" w:color="auto"/>
                                  </w:divBdr>
                                  <w:divsChild>
                                    <w:div w:id="2064676348">
                                      <w:marLeft w:val="0"/>
                                      <w:marRight w:val="0"/>
                                      <w:marTop w:val="0"/>
                                      <w:marBottom w:val="0"/>
                                      <w:divBdr>
                                        <w:top w:val="none" w:sz="0" w:space="0" w:color="auto"/>
                                        <w:left w:val="none" w:sz="0" w:space="0" w:color="auto"/>
                                        <w:bottom w:val="none" w:sz="0" w:space="0" w:color="auto"/>
                                        <w:right w:val="none" w:sz="0" w:space="0" w:color="auto"/>
                                      </w:divBdr>
                                      <w:divsChild>
                                        <w:div w:id="1511793286">
                                          <w:marLeft w:val="0"/>
                                          <w:marRight w:val="0"/>
                                          <w:marTop w:val="0"/>
                                          <w:marBottom w:val="0"/>
                                          <w:divBdr>
                                            <w:top w:val="none" w:sz="0" w:space="0" w:color="auto"/>
                                            <w:left w:val="none" w:sz="0" w:space="0" w:color="auto"/>
                                            <w:bottom w:val="none" w:sz="0" w:space="0" w:color="auto"/>
                                            <w:right w:val="none" w:sz="0" w:space="0" w:color="auto"/>
                                          </w:divBdr>
                                          <w:divsChild>
                                            <w:div w:id="869343593">
                                              <w:marLeft w:val="0"/>
                                              <w:marRight w:val="0"/>
                                              <w:marTop w:val="0"/>
                                              <w:marBottom w:val="0"/>
                                              <w:divBdr>
                                                <w:top w:val="none" w:sz="0" w:space="0" w:color="auto"/>
                                                <w:left w:val="none" w:sz="0" w:space="0" w:color="auto"/>
                                                <w:bottom w:val="none" w:sz="0" w:space="0" w:color="auto"/>
                                                <w:right w:val="none" w:sz="0" w:space="0" w:color="auto"/>
                                              </w:divBdr>
                                              <w:divsChild>
                                                <w:div w:id="1723747268">
                                                  <w:marLeft w:val="0"/>
                                                  <w:marRight w:val="0"/>
                                                  <w:marTop w:val="0"/>
                                                  <w:marBottom w:val="0"/>
                                                  <w:divBdr>
                                                    <w:top w:val="none" w:sz="0" w:space="0" w:color="auto"/>
                                                    <w:left w:val="none" w:sz="0" w:space="0" w:color="auto"/>
                                                    <w:bottom w:val="none" w:sz="0" w:space="0" w:color="auto"/>
                                                    <w:right w:val="none" w:sz="0" w:space="0" w:color="auto"/>
                                                  </w:divBdr>
                                                  <w:divsChild>
                                                    <w:div w:id="942802166">
                                                      <w:marLeft w:val="0"/>
                                                      <w:marRight w:val="0"/>
                                                      <w:marTop w:val="0"/>
                                                      <w:marBottom w:val="0"/>
                                                      <w:divBdr>
                                                        <w:top w:val="none" w:sz="0" w:space="0" w:color="auto"/>
                                                        <w:left w:val="none" w:sz="0" w:space="0" w:color="auto"/>
                                                        <w:bottom w:val="none" w:sz="0" w:space="0" w:color="auto"/>
                                                        <w:right w:val="none" w:sz="0" w:space="0" w:color="auto"/>
                                                      </w:divBdr>
                                                      <w:divsChild>
                                                        <w:div w:id="1791433988">
                                                          <w:marLeft w:val="0"/>
                                                          <w:marRight w:val="0"/>
                                                          <w:marTop w:val="0"/>
                                                          <w:marBottom w:val="0"/>
                                                          <w:divBdr>
                                                            <w:top w:val="none" w:sz="0" w:space="0" w:color="auto"/>
                                                            <w:left w:val="none" w:sz="0" w:space="0" w:color="auto"/>
                                                            <w:bottom w:val="none" w:sz="0" w:space="0" w:color="auto"/>
                                                            <w:right w:val="none" w:sz="0" w:space="0" w:color="auto"/>
                                                          </w:divBdr>
                                                          <w:divsChild>
                                                            <w:div w:id="859389749">
                                                              <w:marLeft w:val="0"/>
                                                              <w:marRight w:val="0"/>
                                                              <w:marTop w:val="0"/>
                                                              <w:marBottom w:val="0"/>
                                                              <w:divBdr>
                                                                <w:top w:val="none" w:sz="0" w:space="0" w:color="auto"/>
                                                                <w:left w:val="none" w:sz="0" w:space="0" w:color="auto"/>
                                                                <w:bottom w:val="none" w:sz="0" w:space="0" w:color="auto"/>
                                                                <w:right w:val="none" w:sz="0" w:space="0" w:color="auto"/>
                                                              </w:divBdr>
                                                              <w:divsChild>
                                                                <w:div w:id="606234189">
                                                                  <w:marLeft w:val="-270"/>
                                                                  <w:marRight w:val="0"/>
                                                                  <w:marTop w:val="0"/>
                                                                  <w:marBottom w:val="0"/>
                                                                  <w:divBdr>
                                                                    <w:top w:val="none" w:sz="0" w:space="0" w:color="auto"/>
                                                                    <w:left w:val="none" w:sz="0" w:space="0" w:color="auto"/>
                                                                    <w:bottom w:val="none" w:sz="0" w:space="0" w:color="auto"/>
                                                                    <w:right w:val="none" w:sz="0" w:space="0" w:color="auto"/>
                                                                  </w:divBdr>
                                                                  <w:divsChild>
                                                                    <w:div w:id="67700264">
                                                                      <w:marLeft w:val="0"/>
                                                                      <w:marRight w:val="0"/>
                                                                      <w:marTop w:val="0"/>
                                                                      <w:marBottom w:val="0"/>
                                                                      <w:divBdr>
                                                                        <w:top w:val="single" w:sz="6" w:space="0" w:color="E5E6E9"/>
                                                                        <w:left w:val="single" w:sz="6" w:space="0" w:color="DFE0E4"/>
                                                                        <w:bottom w:val="single" w:sz="6" w:space="0" w:color="D0D1D5"/>
                                                                        <w:right w:val="single" w:sz="6" w:space="0" w:color="DFE0E4"/>
                                                                      </w:divBdr>
                                                                      <w:divsChild>
                                                                        <w:div w:id="1544099575">
                                                                          <w:marLeft w:val="0"/>
                                                                          <w:marRight w:val="0"/>
                                                                          <w:marTop w:val="0"/>
                                                                          <w:marBottom w:val="0"/>
                                                                          <w:divBdr>
                                                                            <w:top w:val="none" w:sz="0" w:space="0" w:color="auto"/>
                                                                            <w:left w:val="none" w:sz="0" w:space="0" w:color="auto"/>
                                                                            <w:bottom w:val="none" w:sz="0" w:space="0" w:color="auto"/>
                                                                            <w:right w:val="none" w:sz="0" w:space="0" w:color="auto"/>
                                                                          </w:divBdr>
                                                                          <w:divsChild>
                                                                            <w:div w:id="67074452">
                                                                              <w:marLeft w:val="0"/>
                                                                              <w:marRight w:val="0"/>
                                                                              <w:marTop w:val="0"/>
                                                                              <w:marBottom w:val="0"/>
                                                                              <w:divBdr>
                                                                                <w:top w:val="none" w:sz="0" w:space="0" w:color="auto"/>
                                                                                <w:left w:val="none" w:sz="0" w:space="0" w:color="auto"/>
                                                                                <w:bottom w:val="none" w:sz="0" w:space="0" w:color="auto"/>
                                                                                <w:right w:val="none" w:sz="0" w:space="0" w:color="auto"/>
                                                                              </w:divBdr>
                                                                              <w:divsChild>
                                                                                <w:div w:id="645008722">
                                                                                  <w:marLeft w:val="0"/>
                                                                                  <w:marRight w:val="0"/>
                                                                                  <w:marTop w:val="0"/>
                                                                                  <w:marBottom w:val="0"/>
                                                                                  <w:divBdr>
                                                                                    <w:top w:val="none" w:sz="0" w:space="0" w:color="auto"/>
                                                                                    <w:left w:val="none" w:sz="0" w:space="0" w:color="auto"/>
                                                                                    <w:bottom w:val="none" w:sz="0" w:space="0" w:color="auto"/>
                                                                                    <w:right w:val="none" w:sz="0" w:space="0" w:color="auto"/>
                                                                                  </w:divBdr>
                                                                                  <w:divsChild>
                                                                                    <w:div w:id="81383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822504">
      <w:bodyDiv w:val="1"/>
      <w:marLeft w:val="0"/>
      <w:marRight w:val="0"/>
      <w:marTop w:val="0"/>
      <w:marBottom w:val="0"/>
      <w:divBdr>
        <w:top w:val="none" w:sz="0" w:space="0" w:color="auto"/>
        <w:left w:val="none" w:sz="0" w:space="0" w:color="auto"/>
        <w:bottom w:val="none" w:sz="0" w:space="0" w:color="auto"/>
        <w:right w:val="none" w:sz="0" w:space="0" w:color="auto"/>
      </w:divBdr>
    </w:div>
    <w:div w:id="1438719954">
      <w:bodyDiv w:val="1"/>
      <w:marLeft w:val="0"/>
      <w:marRight w:val="0"/>
      <w:marTop w:val="0"/>
      <w:marBottom w:val="0"/>
      <w:divBdr>
        <w:top w:val="none" w:sz="0" w:space="0" w:color="auto"/>
        <w:left w:val="none" w:sz="0" w:space="0" w:color="auto"/>
        <w:bottom w:val="none" w:sz="0" w:space="0" w:color="auto"/>
        <w:right w:val="none" w:sz="0" w:space="0" w:color="auto"/>
      </w:divBdr>
    </w:div>
    <w:div w:id="1497070520">
      <w:bodyDiv w:val="1"/>
      <w:marLeft w:val="0"/>
      <w:marRight w:val="0"/>
      <w:marTop w:val="0"/>
      <w:marBottom w:val="0"/>
      <w:divBdr>
        <w:top w:val="none" w:sz="0" w:space="0" w:color="auto"/>
        <w:left w:val="none" w:sz="0" w:space="0" w:color="auto"/>
        <w:bottom w:val="none" w:sz="0" w:space="0" w:color="auto"/>
        <w:right w:val="none" w:sz="0" w:space="0" w:color="auto"/>
      </w:divBdr>
    </w:div>
    <w:div w:id="1529874676">
      <w:bodyDiv w:val="1"/>
      <w:marLeft w:val="0"/>
      <w:marRight w:val="0"/>
      <w:marTop w:val="0"/>
      <w:marBottom w:val="0"/>
      <w:divBdr>
        <w:top w:val="none" w:sz="0" w:space="0" w:color="auto"/>
        <w:left w:val="none" w:sz="0" w:space="0" w:color="auto"/>
        <w:bottom w:val="none" w:sz="0" w:space="0" w:color="auto"/>
        <w:right w:val="none" w:sz="0" w:space="0" w:color="auto"/>
      </w:divBdr>
    </w:div>
    <w:div w:id="1560285340">
      <w:bodyDiv w:val="1"/>
      <w:marLeft w:val="0"/>
      <w:marRight w:val="0"/>
      <w:marTop w:val="0"/>
      <w:marBottom w:val="0"/>
      <w:divBdr>
        <w:top w:val="none" w:sz="0" w:space="0" w:color="auto"/>
        <w:left w:val="none" w:sz="0" w:space="0" w:color="auto"/>
        <w:bottom w:val="none" w:sz="0" w:space="0" w:color="auto"/>
        <w:right w:val="none" w:sz="0" w:space="0" w:color="auto"/>
      </w:divBdr>
    </w:div>
    <w:div w:id="1671256426">
      <w:bodyDiv w:val="1"/>
      <w:marLeft w:val="0"/>
      <w:marRight w:val="0"/>
      <w:marTop w:val="0"/>
      <w:marBottom w:val="0"/>
      <w:divBdr>
        <w:top w:val="none" w:sz="0" w:space="0" w:color="auto"/>
        <w:left w:val="none" w:sz="0" w:space="0" w:color="auto"/>
        <w:bottom w:val="none" w:sz="0" w:space="0" w:color="auto"/>
        <w:right w:val="none" w:sz="0" w:space="0" w:color="auto"/>
      </w:divBdr>
    </w:div>
    <w:div w:id="1678313873">
      <w:bodyDiv w:val="1"/>
      <w:marLeft w:val="0"/>
      <w:marRight w:val="0"/>
      <w:marTop w:val="0"/>
      <w:marBottom w:val="0"/>
      <w:divBdr>
        <w:top w:val="none" w:sz="0" w:space="0" w:color="auto"/>
        <w:left w:val="none" w:sz="0" w:space="0" w:color="auto"/>
        <w:bottom w:val="none" w:sz="0" w:space="0" w:color="auto"/>
        <w:right w:val="none" w:sz="0" w:space="0" w:color="auto"/>
      </w:divBdr>
    </w:div>
    <w:div w:id="1888494032">
      <w:bodyDiv w:val="1"/>
      <w:marLeft w:val="0"/>
      <w:marRight w:val="0"/>
      <w:marTop w:val="0"/>
      <w:marBottom w:val="0"/>
      <w:divBdr>
        <w:top w:val="none" w:sz="0" w:space="0" w:color="auto"/>
        <w:left w:val="none" w:sz="0" w:space="0" w:color="auto"/>
        <w:bottom w:val="none" w:sz="0" w:space="0" w:color="auto"/>
        <w:right w:val="none" w:sz="0" w:space="0" w:color="auto"/>
      </w:divBdr>
    </w:div>
    <w:div w:id="1986278593">
      <w:bodyDiv w:val="1"/>
      <w:marLeft w:val="0"/>
      <w:marRight w:val="0"/>
      <w:marTop w:val="0"/>
      <w:marBottom w:val="0"/>
      <w:divBdr>
        <w:top w:val="none" w:sz="0" w:space="0" w:color="auto"/>
        <w:left w:val="none" w:sz="0" w:space="0" w:color="auto"/>
        <w:bottom w:val="none" w:sz="0" w:space="0" w:color="auto"/>
        <w:right w:val="none" w:sz="0" w:space="0" w:color="auto"/>
      </w:divBdr>
    </w:div>
    <w:div w:id="2134054401">
      <w:bodyDiv w:val="1"/>
      <w:marLeft w:val="0"/>
      <w:marRight w:val="0"/>
      <w:marTop w:val="0"/>
      <w:marBottom w:val="0"/>
      <w:divBdr>
        <w:top w:val="none" w:sz="0" w:space="0" w:color="auto"/>
        <w:left w:val="none" w:sz="0" w:space="0" w:color="auto"/>
        <w:bottom w:val="none" w:sz="0" w:space="0" w:color="auto"/>
        <w:right w:val="none" w:sz="0" w:space="0" w:color="auto"/>
      </w:divBdr>
      <w:divsChild>
        <w:div w:id="1230388191">
          <w:marLeft w:val="0"/>
          <w:marRight w:val="0"/>
          <w:marTop w:val="0"/>
          <w:marBottom w:val="0"/>
          <w:divBdr>
            <w:top w:val="none" w:sz="0" w:space="0" w:color="auto"/>
            <w:left w:val="none" w:sz="0" w:space="0" w:color="auto"/>
            <w:bottom w:val="none" w:sz="0" w:space="0" w:color="auto"/>
            <w:right w:val="none" w:sz="0" w:space="0" w:color="auto"/>
          </w:divBdr>
          <w:divsChild>
            <w:div w:id="1641307635">
              <w:marLeft w:val="0"/>
              <w:marRight w:val="0"/>
              <w:marTop w:val="0"/>
              <w:marBottom w:val="0"/>
              <w:divBdr>
                <w:top w:val="none" w:sz="0" w:space="0" w:color="auto"/>
                <w:left w:val="none" w:sz="0" w:space="0" w:color="auto"/>
                <w:bottom w:val="none" w:sz="0" w:space="0" w:color="auto"/>
                <w:right w:val="none" w:sz="0" w:space="0" w:color="auto"/>
              </w:divBdr>
              <w:divsChild>
                <w:div w:id="1517813869">
                  <w:marLeft w:val="0"/>
                  <w:marRight w:val="0"/>
                  <w:marTop w:val="0"/>
                  <w:marBottom w:val="300"/>
                  <w:divBdr>
                    <w:top w:val="none" w:sz="0" w:space="0" w:color="auto"/>
                    <w:left w:val="none" w:sz="0" w:space="0" w:color="auto"/>
                    <w:bottom w:val="none" w:sz="0" w:space="0" w:color="auto"/>
                    <w:right w:val="none" w:sz="0" w:space="0" w:color="auto"/>
                  </w:divBdr>
                  <w:divsChild>
                    <w:div w:id="1551378754">
                      <w:marLeft w:val="0"/>
                      <w:marRight w:val="0"/>
                      <w:marTop w:val="0"/>
                      <w:marBottom w:val="0"/>
                      <w:divBdr>
                        <w:top w:val="none" w:sz="0" w:space="0" w:color="auto"/>
                        <w:left w:val="none" w:sz="0" w:space="0" w:color="auto"/>
                        <w:bottom w:val="none" w:sz="0" w:space="0" w:color="auto"/>
                        <w:right w:val="none" w:sz="0" w:space="0" w:color="auto"/>
                      </w:divBdr>
                      <w:divsChild>
                        <w:div w:id="133307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lute.gov.it/portale/lea/dettaglioContenutiLea.jsp?area=Lea&amp;id=4697&amp;lingua=italiano&amp;menu=distrettuale"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fficio.stampa@gimbe.org"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sisac.info/downloadFILE.do?doc_id=www.sisac.info/resources/pagine/201012220128505922&amp;nomefile=ore_scelte_1_1_2022.pdf&amp;serv=nws"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www.sisac.info/downloadFILE.do?doc_id=www.sisac.info/resources/pagine/201012220128505922&amp;nomefile=ore_scelte_1_1_2022.pdf&amp;serv=nws"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7BF42-8A29-42DA-AEE7-2C84E3D18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2004</Words>
  <Characters>11425</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Nino</dc:creator>
  <cp:lastModifiedBy>Roberto Luceri</cp:lastModifiedBy>
  <cp:revision>4</cp:revision>
  <cp:lastPrinted>2014-01-27T14:53:00Z</cp:lastPrinted>
  <dcterms:created xsi:type="dcterms:W3CDTF">2024-03-06T12:54:00Z</dcterms:created>
  <dcterms:modified xsi:type="dcterms:W3CDTF">2024-03-07T08:35:00Z</dcterms:modified>
</cp:coreProperties>
</file>